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9000"/>
      </w:tblGrid>
      <w:tr w:rsidR="42364BEB" w:rsidTr="42364BEB" w14:paraId="2E9CC701">
        <w:trPr>
          <w:trHeight w:val="1170"/>
        </w:trPr>
        <w:tc>
          <w:tcPr>
            <w:tcW w:w="9000" w:type="dxa"/>
            <w:tcBorders>
              <w:top w:val="single" w:color="2F5496" w:themeColor="accent1" w:themeShade="BF" w:sz="12"/>
              <w:left w:val="single" w:color="2F5496" w:themeColor="accent1" w:themeShade="BF" w:sz="12"/>
              <w:bottom w:val="single" w:color="2F5496" w:themeColor="accent1" w:themeShade="BF" w:sz="12"/>
              <w:right w:val="single" w:color="2F5496" w:themeColor="accent1" w:themeShade="BF" w:sz="12"/>
            </w:tcBorders>
            <w:shd w:val="clear" w:color="auto" w:fill="DEEAF6" w:themeFill="accent5" w:themeFillTint="33"/>
            <w:tcMar>
              <w:left w:w="90" w:type="dxa"/>
              <w:right w:w="90" w:type="dxa"/>
            </w:tcMar>
            <w:vAlign w:val="center"/>
          </w:tcPr>
          <w:p w:rsidR="42364BEB" w:rsidP="42364BEB" w:rsidRDefault="42364BEB" w14:paraId="767EC9E0" w14:textId="437761AA">
            <w:pPr>
              <w:spacing w:before="240" w:after="240" w:line="360" w:lineRule="exact"/>
              <w:ind w:left="-20" w:right="-20"/>
              <w:rPr>
                <w:rFonts w:ascii="Arial" w:hAnsi="Arial" w:eastAsia="Arial" w:cs="Arial"/>
                <w:color w:val="2E74B5" w:themeColor="accent5" w:themeTint="FF" w:themeShade="BF"/>
                <w:sz w:val="18"/>
                <w:szCs w:val="18"/>
              </w:rPr>
            </w:pPr>
            <w:r w:rsidRPr="42364BEB" w:rsidR="42364BEB">
              <w:rPr>
                <w:rFonts w:ascii="Gill Sans Nova" w:hAnsi="Gill Sans Nova" w:eastAsia="Gill Sans Nova" w:cs="Gill Sans Nova"/>
                <w:b w:val="1"/>
                <w:bCs w:val="1"/>
                <w:color w:val="000000" w:themeColor="text1" w:themeTint="FF" w:themeShade="FF"/>
                <w:sz w:val="24"/>
                <w:szCs w:val="24"/>
                <w:lang w:val="no"/>
              </w:rPr>
              <w:t>Kompetansem</w:t>
            </w:r>
            <w:r w:rsidRPr="42364BEB" w:rsidR="42364BEB">
              <w:rPr>
                <w:rFonts w:ascii="Calibri" w:hAnsi="Calibri" w:eastAsia="Calibri" w:cs="Calibri"/>
                <w:b w:val="1"/>
                <w:bCs w:val="1"/>
                <w:color w:val="000000" w:themeColor="text1" w:themeTint="FF" w:themeShade="FF"/>
                <w:sz w:val="24"/>
                <w:szCs w:val="24"/>
                <w:lang w:val="no"/>
              </w:rPr>
              <w:t>å</w:t>
            </w:r>
            <w:r w:rsidRPr="42364BEB" w:rsidR="42364BEB">
              <w:rPr>
                <w:rFonts w:ascii="Gill Sans Nova" w:hAnsi="Gill Sans Nova" w:eastAsia="Gill Sans Nova" w:cs="Gill Sans Nova"/>
                <w:b w:val="1"/>
                <w:bCs w:val="1"/>
                <w:color w:val="000000" w:themeColor="text1" w:themeTint="FF" w:themeShade="FF"/>
                <w:sz w:val="24"/>
                <w:szCs w:val="24"/>
                <w:lang w:val="no"/>
              </w:rPr>
              <w:t>l i hovedfokus</w:t>
            </w:r>
            <w:r w:rsidRPr="42364BEB" w:rsidR="42364BEB">
              <w:rPr>
                <w:rFonts w:ascii="Gill Sans Nova" w:hAnsi="Gill Sans Nova" w:eastAsia="Gill Sans Nova" w:cs="Gill Sans Nova"/>
                <w:b w:val="1"/>
                <w:bCs w:val="1"/>
                <w:color w:val="000000" w:themeColor="text1" w:themeTint="FF" w:themeShade="FF"/>
                <w:sz w:val="20"/>
                <w:szCs w:val="20"/>
                <w:lang w:val="no"/>
              </w:rPr>
              <w:t xml:space="preserve"> </w:t>
            </w:r>
            <w:r w:rsidRPr="42364BEB" w:rsidR="42364BEB">
              <w:rPr>
                <w:rFonts w:ascii="Arial" w:hAnsi="Arial" w:eastAsia="Arial" w:cs="Arial"/>
                <w:color w:val="2E74B5" w:themeColor="accent5" w:themeTint="FF" w:themeShade="BF"/>
                <w:sz w:val="20"/>
                <w:szCs w:val="20"/>
                <w:lang w:val="no"/>
              </w:rPr>
              <w:t>(</w:t>
            </w:r>
            <w:r w:rsidRPr="42364BEB" w:rsidR="42364BEB">
              <w:rPr>
                <w:rFonts w:ascii="Arial" w:hAnsi="Arial" w:eastAsia="Arial" w:cs="Arial"/>
                <w:color w:val="2E74B5" w:themeColor="accent5" w:themeTint="FF" w:themeShade="BF"/>
                <w:sz w:val="18"/>
                <w:szCs w:val="18"/>
                <w:lang w:val="no"/>
              </w:rPr>
              <w:t>Hvilke(t) kompetansemål tar dere utgangspunkt i?)</w:t>
            </w:r>
          </w:p>
          <w:p w:rsidR="42364BEB" w:rsidP="42364BEB" w:rsidRDefault="42364BEB" w14:paraId="706F8664" w14:textId="723BA31D">
            <w:pPr>
              <w:spacing w:after="0" w:line="259" w:lineRule="auto"/>
              <w:ind w:left="-20" w:right="-20"/>
              <w:rPr>
                <w:rFonts w:ascii="Gill Sans" w:hAnsi="Gill Sans" w:eastAsia="Gill Sans" w:cs="Gill Sans"/>
                <w:color w:val="000000" w:themeColor="text1" w:themeTint="FF" w:themeShade="FF"/>
                <w:sz w:val="24"/>
                <w:szCs w:val="24"/>
              </w:rPr>
            </w:pPr>
            <w:r w:rsidRPr="42364BEB" w:rsidR="42364BEB">
              <w:rPr>
                <w:rFonts w:ascii="Gill Sans" w:hAnsi="Gill Sans" w:eastAsia="Gill Sans" w:cs="Gill Sans"/>
                <w:color w:val="000000" w:themeColor="text1" w:themeTint="FF" w:themeShade="FF"/>
                <w:sz w:val="24"/>
                <w:szCs w:val="24"/>
                <w:lang w:val="nb-NO"/>
              </w:rPr>
              <w:t>Deltakerne i denne klassen jobber med kompetansemål på A1 og A2. Kompetansemålene for A1 og A2 er markert under. Det er disse kompetansemålene undervisningsopplegget tar utgangspunkt i. (Kompetansemålet kan knyttes til å lese for å orientere seg i Rammeverket)</w:t>
            </w:r>
          </w:p>
          <w:p w:rsidR="42364BEB" w:rsidP="42364BEB" w:rsidRDefault="42364BEB" w14:paraId="74C310EA" w14:textId="5EAD4714">
            <w:pPr>
              <w:spacing w:after="0" w:line="259" w:lineRule="auto"/>
              <w:ind w:left="-20" w:right="-20"/>
              <w:rPr>
                <w:rFonts w:ascii="Gill Sans" w:hAnsi="Gill Sans" w:eastAsia="Gill Sans" w:cs="Gill Sans"/>
                <w:color w:val="000000" w:themeColor="text1" w:themeTint="FF" w:themeShade="FF"/>
                <w:sz w:val="24"/>
                <w:szCs w:val="24"/>
              </w:rPr>
            </w:pPr>
          </w:p>
          <w:p w:rsidR="42364BEB" w:rsidP="42364BEB" w:rsidRDefault="42364BEB" w14:paraId="1E29FD0A" w14:textId="46BF8FBA">
            <w:pPr>
              <w:spacing w:after="0" w:line="259" w:lineRule="auto"/>
              <w:ind w:left="-20" w:right="-20"/>
              <w:rPr>
                <w:rFonts w:ascii="Gill Sans" w:hAnsi="Gill Sans" w:eastAsia="Gill Sans" w:cs="Gill Sans"/>
                <w:color w:val="000000" w:themeColor="text1" w:themeTint="FF" w:themeShade="FF"/>
                <w:sz w:val="24"/>
                <w:szCs w:val="24"/>
              </w:rPr>
            </w:pPr>
            <w:r w:rsidRPr="42364BEB" w:rsidR="42364BEB">
              <w:rPr>
                <w:rFonts w:ascii="Gill Sans" w:hAnsi="Gill Sans" w:eastAsia="Gill Sans" w:cs="Gill Sans"/>
                <w:color w:val="000000" w:themeColor="text1" w:themeTint="FF" w:themeShade="FF"/>
                <w:sz w:val="24"/>
                <w:szCs w:val="24"/>
                <w:lang w:val="nb-NO"/>
              </w:rPr>
              <w:t xml:space="preserve">Deltakeren skal kunne: </w:t>
            </w:r>
          </w:p>
          <w:p w:rsidR="42364BEB" w:rsidP="42364BEB" w:rsidRDefault="42364BEB" w14:paraId="6FA9F86D" w14:textId="30136D62">
            <w:pPr>
              <w:spacing w:after="0" w:line="259" w:lineRule="auto"/>
              <w:ind w:left="-20" w:right="-20"/>
              <w:rPr>
                <w:rFonts w:ascii="Gill Sans" w:hAnsi="Gill Sans" w:eastAsia="Gill Sans" w:cs="Gill Sans"/>
                <w:color w:val="000000" w:themeColor="text1" w:themeTint="FF" w:themeShade="FF"/>
                <w:sz w:val="24"/>
                <w:szCs w:val="24"/>
              </w:rPr>
            </w:pPr>
          </w:p>
          <w:p w:rsidR="25D72307" w:rsidP="42364BEB" w:rsidRDefault="25D72307" w14:paraId="74DF4610" w14:textId="3DD548D7">
            <w:pPr>
              <w:spacing w:after="240" w:line="259" w:lineRule="auto"/>
              <w:rPr>
                <w:rFonts w:ascii="Ebrima" w:hAnsi="Ebrima" w:eastAsia="Ebrima" w:cs="Ebrima"/>
                <w:sz w:val="24"/>
                <w:szCs w:val="24"/>
              </w:rPr>
            </w:pPr>
            <w:r w:rsidR="25D72307">
              <w:drawing>
                <wp:inline wp14:editId="571C4443" wp14:anchorId="03F76A85">
                  <wp:extent cx="5472592" cy="1368148"/>
                  <wp:effectExtent l="0" t="0" r="0" b="0"/>
                  <wp:docPr id="144178035" name="" title=""/>
                  <wp:cNvGraphicFramePr>
                    <a:graphicFrameLocks noChangeAspect="1"/>
                  </wp:cNvGraphicFramePr>
                  <a:graphic>
                    <a:graphicData uri="http://schemas.openxmlformats.org/drawingml/2006/picture">
                      <pic:pic>
                        <pic:nvPicPr>
                          <pic:cNvPr id="0" name=""/>
                          <pic:cNvPicPr/>
                        </pic:nvPicPr>
                        <pic:blipFill>
                          <a:blip r:embed="R2645fc4f8f564d1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5472592" cy="1368148"/>
                          </a:xfrm>
                          <a:prstGeom xmlns:a="http://schemas.openxmlformats.org/drawingml/2006/main" prst="rect">
                            <a:avLst xmlns:a="http://schemas.openxmlformats.org/drawingml/2006/main"/>
                          </a:prstGeom>
                        </pic:spPr>
                      </pic:pic>
                    </a:graphicData>
                  </a:graphic>
                </wp:inline>
              </w:drawing>
            </w:r>
          </w:p>
          <w:p w:rsidR="42364BEB" w:rsidP="42364BEB" w:rsidRDefault="42364BEB" w14:paraId="0CB7B011" w14:textId="053E4E19">
            <w:pPr>
              <w:spacing w:before="240" w:after="240" w:line="360" w:lineRule="exact"/>
              <w:ind w:left="-20" w:right="-20"/>
              <w:rPr>
                <w:rFonts w:ascii="Arial" w:hAnsi="Arial" w:eastAsia="Arial" w:cs="Arial"/>
                <w:color w:val="2E74B5" w:themeColor="accent5" w:themeTint="FF" w:themeShade="BF"/>
                <w:sz w:val="18"/>
                <w:szCs w:val="18"/>
              </w:rPr>
            </w:pPr>
            <w:r w:rsidRPr="42364BEB" w:rsidR="42364BEB">
              <w:rPr>
                <w:rFonts w:ascii="Gill Sans Nova" w:hAnsi="Gill Sans Nova" w:eastAsia="Gill Sans Nova" w:cs="Gill Sans Nova"/>
                <w:b w:val="1"/>
                <w:bCs w:val="1"/>
                <w:color w:val="000000" w:themeColor="text1" w:themeTint="FF" w:themeShade="FF"/>
                <w:sz w:val="24"/>
                <w:szCs w:val="24"/>
                <w:lang w:val="no"/>
              </w:rPr>
              <w:t xml:space="preserve">Kjerneelement(er): </w:t>
            </w:r>
            <w:r w:rsidRPr="42364BEB" w:rsidR="42364BEB">
              <w:rPr>
                <w:rFonts w:ascii="Arial" w:hAnsi="Arial" w:eastAsia="Arial" w:cs="Arial"/>
                <w:color w:val="2E74B5" w:themeColor="accent5" w:themeTint="FF" w:themeShade="BF"/>
                <w:sz w:val="18"/>
                <w:szCs w:val="18"/>
                <w:lang w:val="no"/>
              </w:rPr>
              <w:t>(Hvilke(t) kjerneelement kan kompetansemålet knyttes til? Hvilke aspekter i kjerneelementet er mest sentrale?)</w:t>
            </w:r>
          </w:p>
          <w:p w:rsidR="42364BEB" w:rsidP="42364BEB" w:rsidRDefault="42364BEB" w14:paraId="7C03B81C" w14:textId="09898B0E">
            <w:pPr>
              <w:spacing w:after="0" w:line="259" w:lineRule="auto"/>
              <w:ind w:left="-20" w:right="-20"/>
              <w:rPr>
                <w:rFonts w:ascii="Source Sans Pro" w:hAnsi="Source Sans Pro" w:eastAsia="Source Sans Pro" w:cs="Source Sans Pro"/>
                <w:color w:val="000000" w:themeColor="text1" w:themeTint="FF" w:themeShade="FF"/>
                <w:sz w:val="20"/>
                <w:szCs w:val="20"/>
              </w:rPr>
            </w:pPr>
            <w:r w:rsidRPr="42364BEB" w:rsidR="42364BEB">
              <w:rPr>
                <w:rFonts w:ascii="Gill Sans" w:hAnsi="Gill Sans" w:eastAsia="Gill Sans" w:cs="Gill Sans"/>
                <w:b w:val="1"/>
                <w:bCs w:val="1"/>
                <w:strike w:val="0"/>
                <w:dstrike w:val="0"/>
                <w:color w:val="2F5496" w:themeColor="accent1" w:themeTint="FF" w:themeShade="BF"/>
                <w:sz w:val="20"/>
                <w:szCs w:val="20"/>
                <w:u w:val="single"/>
                <w:lang w:val="nb-NO"/>
              </w:rPr>
              <w:t>Resepsjon</w:t>
            </w:r>
            <w:r w:rsidRPr="42364BEB" w:rsidR="42364BEB">
              <w:rPr>
                <w:rFonts w:ascii="Source Sans Pro" w:hAnsi="Source Sans Pro" w:eastAsia="Source Sans Pro" w:cs="Source Sans Pro"/>
                <w:b w:val="1"/>
                <w:bCs w:val="1"/>
                <w:color w:val="000000" w:themeColor="text1" w:themeTint="FF" w:themeShade="FF"/>
                <w:sz w:val="20"/>
                <w:szCs w:val="20"/>
                <w:lang w:val="nb-NO"/>
              </w:rPr>
              <w:t xml:space="preserve"> </w:t>
            </w:r>
          </w:p>
          <w:p w:rsidR="42364BEB" w:rsidP="42364BEB" w:rsidRDefault="42364BEB" w14:paraId="5E12AABA" w14:textId="3A8FE83D">
            <w:pPr>
              <w:pStyle w:val="ListParagraph"/>
              <w:numPr>
                <w:ilvl w:val="0"/>
                <w:numId w:val="1"/>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b-NO"/>
              </w:rPr>
              <w:t>Kjerneelementet resepsjon handler om det å motta, bearbeide og forstå tekst</w:t>
            </w:r>
          </w:p>
          <w:p w:rsidR="42364BEB" w:rsidP="42364BEB" w:rsidRDefault="42364BEB" w14:paraId="17C7F9F7" w14:textId="63785C92">
            <w:pPr>
              <w:pStyle w:val="ListParagraph"/>
              <w:numPr>
                <w:ilvl w:val="0"/>
                <w:numId w:val="1"/>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b-NO"/>
              </w:rPr>
              <w:t>(..)lete etter og forstå spesifikk informasjon i en tekst</w:t>
            </w:r>
          </w:p>
          <w:p w:rsidR="42364BEB" w:rsidP="42364BEB" w:rsidRDefault="42364BEB" w14:paraId="142FEEBB" w14:textId="5396BE0E">
            <w:pPr>
              <w:pStyle w:val="ListParagraph"/>
              <w:numPr>
                <w:ilvl w:val="0"/>
                <w:numId w:val="1"/>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b-NO"/>
              </w:rPr>
              <w:t>(..) omfatter også det å vurdere egen forståelse og å ta imot og bearbeide informasjon på en reflektert og kritisk måte.</w:t>
            </w:r>
          </w:p>
          <w:p w:rsidR="42364BEB" w:rsidP="42364BEB" w:rsidRDefault="42364BEB" w14:paraId="06A6B28B" w14:textId="06CDF11B">
            <w:pPr>
              <w:spacing w:after="0" w:line="360" w:lineRule="auto"/>
              <w:ind w:left="-20" w:right="-20"/>
              <w:rPr>
                <w:rFonts w:ascii="Calibri" w:hAnsi="Calibri" w:eastAsia="Calibri" w:cs="Calibri"/>
                <w:color w:val="2F5496" w:themeColor="accent1" w:themeTint="FF" w:themeShade="BF"/>
                <w:sz w:val="24"/>
                <w:szCs w:val="24"/>
              </w:rPr>
            </w:pPr>
            <w:r w:rsidRPr="42364BEB" w:rsidR="42364BEB">
              <w:rPr>
                <w:rFonts w:ascii="Calibri" w:hAnsi="Calibri" w:eastAsia="Calibri" w:cs="Calibri"/>
                <w:b w:val="1"/>
                <w:bCs w:val="1"/>
                <w:strike w:val="0"/>
                <w:dstrike w:val="0"/>
                <w:color w:val="2F5496" w:themeColor="accent1" w:themeTint="FF" w:themeShade="BF"/>
                <w:sz w:val="24"/>
                <w:szCs w:val="24"/>
                <w:u w:val="single"/>
                <w:lang w:val="nb-NO"/>
              </w:rPr>
              <w:t>Språklæringsstrategier</w:t>
            </w:r>
          </w:p>
          <w:p w:rsidR="42364BEB" w:rsidP="42364BEB" w:rsidRDefault="42364BEB" w14:paraId="015BA249" w14:textId="34A58D51">
            <w:pPr>
              <w:pStyle w:val="ListParagraph"/>
              <w:numPr>
                <w:ilvl w:val="0"/>
                <w:numId w:val="4"/>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b-NO"/>
              </w:rPr>
              <w:t>Deltakerne skal blant annet kunne trekke veksler på egne flerspråklige og flerkulturelle ressurser i språklæringen.</w:t>
            </w:r>
          </w:p>
          <w:p w:rsidR="42364BEB" w:rsidP="42364BEB" w:rsidRDefault="42364BEB" w14:paraId="21933A58" w14:textId="79665FC8">
            <w:pPr>
              <w:pStyle w:val="ListParagraph"/>
              <w:numPr>
                <w:ilvl w:val="0"/>
                <w:numId w:val="4"/>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b-NO"/>
              </w:rPr>
              <w:t>De skal også kunne støtte seg på omgivelsene, på digital teknologi og på mennesker de har rundt seg, i prosessen med å lære og prøve ut språket.</w:t>
            </w:r>
          </w:p>
          <w:p w:rsidR="42364BEB" w:rsidP="42364BEB" w:rsidRDefault="42364BEB" w14:paraId="293D8C42" w14:textId="362640AD">
            <w:pPr>
              <w:spacing w:before="240" w:after="240" w:line="360" w:lineRule="auto"/>
              <w:ind w:left="720" w:right="-20" w:hanging="360"/>
              <w:rPr>
                <w:rFonts w:ascii="Times New Roman" w:hAnsi="Times New Roman" w:eastAsia="Times New Roman" w:cs="Times New Roman"/>
                <w:color w:val="000000" w:themeColor="text1" w:themeTint="FF" w:themeShade="FF"/>
                <w:sz w:val="14"/>
                <w:szCs w:val="14"/>
              </w:rPr>
            </w:pPr>
          </w:p>
        </w:tc>
      </w:tr>
      <w:tr w:rsidR="42364BEB" w:rsidTr="42364BEB" w14:paraId="7FA1AE23">
        <w:trPr>
          <w:trHeight w:val="1665"/>
        </w:trPr>
        <w:tc>
          <w:tcPr>
            <w:tcW w:w="9000" w:type="dxa"/>
            <w:tcBorders>
              <w:top w:val="single" w:color="2F5496" w:themeColor="accent1" w:themeShade="BF" w:sz="12"/>
              <w:left w:val="single" w:color="2F5496" w:themeColor="accent1" w:themeShade="BF" w:sz="12"/>
              <w:bottom w:val="single" w:color="2F5496" w:themeColor="accent1" w:themeShade="BF" w:sz="12"/>
              <w:right w:val="single" w:color="2F5496" w:themeColor="accent1" w:themeShade="BF" w:sz="12"/>
            </w:tcBorders>
            <w:shd w:val="clear" w:color="auto" w:fill="DEEAF6" w:themeFill="accent5" w:themeFillTint="33"/>
            <w:tcMar>
              <w:left w:w="90" w:type="dxa"/>
              <w:right w:w="90" w:type="dxa"/>
            </w:tcMar>
            <w:vAlign w:val="center"/>
          </w:tcPr>
          <w:p w:rsidR="42364BEB" w:rsidP="42364BEB" w:rsidRDefault="42364BEB" w14:paraId="5DF94321" w14:textId="0553B12E">
            <w:pPr>
              <w:spacing w:before="240" w:after="240" w:line="360" w:lineRule="exact"/>
              <w:ind w:left="-20" w:right="-20"/>
              <w:rPr>
                <w:rFonts w:ascii="Arial" w:hAnsi="Arial" w:eastAsia="Arial" w:cs="Arial"/>
                <w:color w:val="2E74B5" w:themeColor="accent5" w:themeTint="FF" w:themeShade="BF"/>
                <w:sz w:val="18"/>
                <w:szCs w:val="18"/>
              </w:rPr>
            </w:pPr>
            <w:r w:rsidRPr="42364BEB" w:rsidR="42364BEB">
              <w:rPr>
                <w:rFonts w:ascii="Gill Sans Nova" w:hAnsi="Gill Sans Nova" w:eastAsia="Gill Sans Nova" w:cs="Gill Sans Nova"/>
                <w:b w:val="1"/>
                <w:bCs w:val="1"/>
                <w:color w:val="000000" w:themeColor="text1" w:themeTint="FF" w:themeShade="FF"/>
                <w:sz w:val="24"/>
                <w:szCs w:val="24"/>
                <w:lang w:val="no"/>
              </w:rPr>
              <w:t xml:space="preserve">Innhold </w:t>
            </w:r>
            <w:r w:rsidRPr="42364BEB" w:rsidR="42364BEB">
              <w:rPr>
                <w:rFonts w:ascii="Arial" w:hAnsi="Arial" w:eastAsia="Arial" w:cs="Arial"/>
                <w:color w:val="2E74B5" w:themeColor="accent5" w:themeTint="FF" w:themeShade="BF"/>
                <w:sz w:val="20"/>
                <w:szCs w:val="20"/>
                <w:lang w:val="no"/>
              </w:rPr>
              <w:t>(</w:t>
            </w:r>
            <w:r w:rsidRPr="42364BEB" w:rsidR="42364BEB">
              <w:rPr>
                <w:rFonts w:ascii="Arial" w:hAnsi="Arial" w:eastAsia="Arial" w:cs="Arial"/>
                <w:color w:val="2E74B5" w:themeColor="accent5" w:themeTint="FF" w:themeShade="BF"/>
                <w:sz w:val="18"/>
                <w:szCs w:val="18"/>
                <w:lang w:val="no"/>
              </w:rPr>
              <w:t>Hvilke(t) tema, ressurser, tekster med mer vil dere bruke? Vær mest mulig konkrete. Finn gjerne fram aktuelle ressurser -eller lag nye):</w:t>
            </w:r>
          </w:p>
          <w:p w:rsidR="42364BEB" w:rsidP="42364BEB" w:rsidRDefault="42364BEB" w14:paraId="555B2EAA" w14:textId="7BF5A582">
            <w:pPr>
              <w:spacing w:after="240" w:line="259" w:lineRule="auto"/>
              <w:rPr>
                <w:rFonts w:ascii="Gill Sans Nova" w:hAnsi="Gill Sans Nova" w:eastAsia="Gill Sans Nova" w:cs="Gill Sans Nova"/>
                <w:sz w:val="24"/>
                <w:szCs w:val="24"/>
              </w:rPr>
            </w:pPr>
            <w:r w:rsidRPr="42364BEB" w:rsidR="42364BEB">
              <w:rPr>
                <w:rFonts w:ascii="Gill Sans Nova" w:hAnsi="Gill Sans Nova" w:eastAsia="Gill Sans Nova" w:cs="Gill Sans Nova"/>
                <w:b w:val="1"/>
                <w:bCs w:val="1"/>
                <w:sz w:val="24"/>
                <w:szCs w:val="24"/>
                <w:lang w:val="no"/>
              </w:rPr>
              <w:t xml:space="preserve">Tverrfaglig tema: </w:t>
            </w:r>
          </w:p>
          <w:p w:rsidR="42364BEB" w:rsidP="42364BEB" w:rsidRDefault="42364BEB" w14:paraId="59CB57A4" w14:textId="5BB7CBC7">
            <w:pPr>
              <w:spacing w:before="240" w:after="240" w:line="360" w:lineRule="auto"/>
              <w:ind w:left="720" w:right="-20" w:hanging="360"/>
              <w:rPr>
                <w:rFonts w:ascii="Source Sans Pro" w:hAnsi="Source Sans Pro" w:eastAsia="Source Sans Pro" w:cs="Source Sans Pro"/>
                <w:color w:val="000000" w:themeColor="text1" w:themeTint="FF" w:themeShade="FF"/>
                <w:sz w:val="22"/>
                <w:szCs w:val="22"/>
              </w:rPr>
            </w:pPr>
            <w:r w:rsidRPr="42364BEB" w:rsidR="42364BEB">
              <w:rPr>
                <w:rFonts w:ascii="Wingdings" w:hAnsi="Wingdings" w:eastAsia="Wingdings" w:cs="Wingdings"/>
                <w:color w:val="000000" w:themeColor="text1" w:themeTint="FF" w:themeShade="FF"/>
                <w:sz w:val="24"/>
                <w:szCs w:val="24"/>
                <w:lang w:val="no"/>
              </w:rPr>
              <w:t>v</w:t>
            </w:r>
            <w:r w:rsidRPr="42364BEB" w:rsidR="42364BEB">
              <w:rPr>
                <w:rFonts w:ascii="Times New Roman" w:hAnsi="Times New Roman" w:eastAsia="Times New Roman" w:cs="Times New Roman"/>
                <w:color w:val="000000" w:themeColor="text1" w:themeTint="FF" w:themeShade="FF"/>
                <w:sz w:val="14"/>
                <w:szCs w:val="14"/>
                <w:lang w:val="no"/>
              </w:rPr>
              <w:t xml:space="preserve"> </w:t>
            </w:r>
            <w:r w:rsidRPr="42364BEB" w:rsidR="42364BEB">
              <w:rPr>
                <w:rFonts w:ascii="Gill Sans Nova" w:hAnsi="Gill Sans Nova" w:eastAsia="Gill Sans Nova" w:cs="Gill Sans Nova"/>
                <w:b w:val="1"/>
                <w:bCs w:val="1"/>
                <w:color w:val="000000" w:themeColor="text1" w:themeTint="FF" w:themeShade="FF"/>
                <w:sz w:val="24"/>
                <w:szCs w:val="24"/>
                <w:lang w:val="no"/>
              </w:rPr>
              <w:t>Folkehelse og livsmestring:</w:t>
            </w:r>
            <w:r w:rsidRPr="42364BEB" w:rsidR="42364BEB">
              <w:rPr>
                <w:rFonts w:ascii="Gill Sans Nova" w:hAnsi="Gill Sans Nova" w:eastAsia="Gill Sans Nova" w:cs="Gill Sans Nova"/>
                <w:color w:val="000000" w:themeColor="text1" w:themeTint="FF" w:themeShade="FF"/>
                <w:sz w:val="24"/>
                <w:szCs w:val="24"/>
                <w:lang w:val="no"/>
              </w:rPr>
              <w:t xml:space="preserve"> </w:t>
            </w:r>
            <w:r w:rsidRPr="42364BEB" w:rsidR="42364BEB">
              <w:rPr>
                <w:rFonts w:ascii="Source Sans Pro" w:hAnsi="Source Sans Pro" w:eastAsia="Source Sans Pro" w:cs="Source Sans Pro"/>
                <w:i w:val="1"/>
                <w:iCs w:val="1"/>
                <w:color w:val="000000" w:themeColor="text1" w:themeTint="FF" w:themeShade="FF"/>
                <w:sz w:val="22"/>
                <w:szCs w:val="22"/>
                <w:lang w:val="no"/>
              </w:rPr>
              <w:t>Deltakerne skal utvikle norskferdigheter som gjør det mulig å holde seg informert om relevante temaer knyttet til sosiale, økonomiske, geografiske og miljømessige forhold i samfunnet</w:t>
            </w:r>
          </w:p>
          <w:p w:rsidR="42364BEB" w:rsidP="42364BEB" w:rsidRDefault="42364BEB" w14:paraId="61A5C81B" w14:textId="06E2429D">
            <w:pPr>
              <w:spacing w:before="240" w:after="240" w:line="360" w:lineRule="auto"/>
              <w:ind w:left="720" w:right="-20" w:hanging="360"/>
              <w:rPr>
                <w:rFonts w:ascii="Source Sans Pro" w:hAnsi="Source Sans Pro" w:eastAsia="Source Sans Pro" w:cs="Source Sans Pro"/>
                <w:color w:val="000000" w:themeColor="text1" w:themeTint="FF" w:themeShade="FF"/>
                <w:sz w:val="27"/>
                <w:szCs w:val="27"/>
              </w:rPr>
            </w:pPr>
            <w:r w:rsidRPr="42364BEB" w:rsidR="42364BEB">
              <w:rPr>
                <w:rFonts w:ascii="Wingdings" w:hAnsi="Wingdings" w:eastAsia="Wingdings" w:cs="Wingdings"/>
                <w:color w:val="000000" w:themeColor="text1" w:themeTint="FF" w:themeShade="FF"/>
                <w:sz w:val="24"/>
                <w:szCs w:val="24"/>
                <w:lang w:val="no"/>
              </w:rPr>
              <w:t>v</w:t>
            </w:r>
            <w:r w:rsidRPr="42364BEB" w:rsidR="42364BEB">
              <w:rPr>
                <w:rFonts w:ascii="Times New Roman" w:hAnsi="Times New Roman" w:eastAsia="Times New Roman" w:cs="Times New Roman"/>
                <w:b w:val="1"/>
                <w:bCs w:val="1"/>
                <w:color w:val="000000" w:themeColor="text1" w:themeTint="FF" w:themeShade="FF"/>
                <w:sz w:val="14"/>
                <w:szCs w:val="14"/>
                <w:lang w:val="no"/>
              </w:rPr>
              <w:t xml:space="preserve"> </w:t>
            </w:r>
            <w:r w:rsidRPr="42364BEB" w:rsidR="42364BEB">
              <w:rPr>
                <w:rFonts w:ascii="Gill Sans Nova" w:hAnsi="Gill Sans Nova" w:eastAsia="Gill Sans Nova" w:cs="Gill Sans Nova"/>
                <w:b w:val="1"/>
                <w:bCs w:val="1"/>
                <w:color w:val="000000" w:themeColor="text1" w:themeTint="FF" w:themeShade="FF"/>
                <w:sz w:val="24"/>
                <w:szCs w:val="24"/>
                <w:lang w:val="no"/>
              </w:rPr>
              <w:t>Demokrati og medborgerskap</w:t>
            </w:r>
            <w:r w:rsidRPr="42364BEB" w:rsidR="42364BEB">
              <w:rPr>
                <w:rFonts w:ascii="Gill Sans Nova" w:hAnsi="Gill Sans Nova" w:eastAsia="Gill Sans Nova" w:cs="Gill Sans Nova"/>
                <w:color w:val="000000" w:themeColor="text1" w:themeTint="FF" w:themeShade="FF"/>
                <w:sz w:val="24"/>
                <w:szCs w:val="24"/>
                <w:lang w:val="no"/>
              </w:rPr>
              <w:t xml:space="preserve">: </w:t>
            </w:r>
            <w:r w:rsidRPr="42364BEB" w:rsidR="42364BEB">
              <w:rPr>
                <w:rFonts w:ascii="Source Sans Pro" w:hAnsi="Source Sans Pro" w:eastAsia="Source Sans Pro" w:cs="Source Sans Pro"/>
                <w:i w:val="1"/>
                <w:iCs w:val="1"/>
                <w:color w:val="000000" w:themeColor="text1" w:themeTint="FF" w:themeShade="FF"/>
                <w:sz w:val="22"/>
                <w:szCs w:val="22"/>
                <w:lang w:val="no"/>
              </w:rPr>
              <w:t>Deltakerne skal utvikle norskferdigheter som gjør det mulig å ivareta familieliv og (…) egne behov og egen økonomi.</w:t>
            </w:r>
            <w:r w:rsidRPr="42364BEB" w:rsidR="42364BEB">
              <w:rPr>
                <w:rFonts w:ascii="Source Sans Pro" w:hAnsi="Source Sans Pro" w:eastAsia="Source Sans Pro" w:cs="Source Sans Pro"/>
                <w:color w:val="000000" w:themeColor="text1" w:themeTint="FF" w:themeShade="FF"/>
                <w:sz w:val="27"/>
                <w:szCs w:val="27"/>
                <w:lang w:val="nb-NO"/>
              </w:rPr>
              <w:t xml:space="preserve"> </w:t>
            </w:r>
          </w:p>
          <w:p w:rsidR="42364BEB" w:rsidP="42364BEB" w:rsidRDefault="42364BEB" w14:paraId="2592C0D7" w14:textId="211841D2">
            <w:pPr>
              <w:pStyle w:val="ListParagraph"/>
              <w:numPr>
                <w:ilvl w:val="0"/>
                <w:numId w:val="6"/>
              </w:numPr>
              <w:spacing w:before="240" w:after="240" w:line="360" w:lineRule="auto"/>
              <w:ind w:right="-20"/>
              <w:rPr>
                <w:rFonts w:ascii="Calibri" w:hAnsi="Calibri" w:eastAsia="Calibri" w:cs="Calibri"/>
                <w:color w:val="000000" w:themeColor="text1" w:themeTint="FF" w:themeShade="FF"/>
                <w:sz w:val="24"/>
                <w:szCs w:val="24"/>
              </w:rPr>
            </w:pPr>
            <w:r w:rsidRPr="42364BEB" w:rsidR="42364BEB">
              <w:rPr>
                <w:rFonts w:ascii="Gill Sans Nova" w:hAnsi="Gill Sans Nova" w:eastAsia="Gill Sans Nova" w:cs="Gill Sans Nova"/>
                <w:b w:val="1"/>
                <w:bCs w:val="1"/>
                <w:color w:val="262626" w:themeColor="text1" w:themeTint="D9" w:themeShade="FF"/>
                <w:sz w:val="24"/>
                <w:szCs w:val="24"/>
                <w:lang w:val="no"/>
              </w:rPr>
              <w:t>Undertema</w:t>
            </w:r>
            <w:r w:rsidRPr="42364BEB" w:rsidR="42364BEB">
              <w:rPr>
                <w:rFonts w:ascii="Calibri" w:hAnsi="Calibri" w:eastAsia="Calibri" w:cs="Calibri"/>
                <w:color w:val="000000" w:themeColor="text1" w:themeTint="FF" w:themeShade="FF"/>
                <w:sz w:val="20"/>
                <w:szCs w:val="20"/>
                <w:lang w:val="no"/>
              </w:rPr>
              <w:t xml:space="preserve"> </w:t>
            </w:r>
            <w:r w:rsidRPr="42364BEB" w:rsidR="42364BEB">
              <w:rPr>
                <w:rFonts w:ascii="Calibri" w:hAnsi="Calibri" w:eastAsia="Calibri" w:cs="Calibri"/>
                <w:color w:val="000000" w:themeColor="text1" w:themeTint="FF" w:themeShade="FF"/>
                <w:sz w:val="24"/>
                <w:szCs w:val="24"/>
                <w:lang w:val="no"/>
              </w:rPr>
              <w:t xml:space="preserve">(litt mer spesifikt):  Deltakerne skal sammen med læreren og deretter individuelt samle inn autentisk materiale som skal brukes i undervisningen i denne perioden. Innsamlet materialet/ de autentiske tekstene vil avklare innholdet nærmere.  Lærer og deltakerne tar et utvalg av innsamlet materiale basert på deltakernes behov og ønsker. </w:t>
            </w:r>
          </w:p>
          <w:p w:rsidR="42364BEB" w:rsidP="42364BEB" w:rsidRDefault="42364BEB" w14:paraId="478E24EC" w14:textId="75E695A9">
            <w:pPr>
              <w:spacing w:before="240" w:after="240" w:line="360" w:lineRule="auto"/>
              <w:ind w:right="-20"/>
              <w:rPr>
                <w:rFonts w:ascii="Arial" w:hAnsi="Arial" w:eastAsia="Arial" w:cs="Arial"/>
                <w:color w:val="000000" w:themeColor="text1" w:themeTint="FF" w:themeShade="FF"/>
                <w:sz w:val="20"/>
                <w:szCs w:val="20"/>
              </w:rPr>
            </w:pPr>
            <w:r w:rsidRPr="42364BEB" w:rsidR="42364BEB">
              <w:rPr>
                <w:rFonts w:ascii="Times New Roman" w:hAnsi="Times New Roman" w:eastAsia="Times New Roman" w:cs="Times New Roman"/>
                <w:color w:val="000000" w:themeColor="text1" w:themeTint="FF" w:themeShade="FF"/>
                <w:sz w:val="14"/>
                <w:szCs w:val="14"/>
                <w:lang w:val="nb-NO"/>
              </w:rPr>
              <w:t xml:space="preserve"> </w:t>
            </w:r>
            <w:r w:rsidRPr="42364BEB" w:rsidR="42364BEB">
              <w:rPr>
                <w:rFonts w:ascii="Gill Sans Nova" w:hAnsi="Gill Sans Nova" w:eastAsia="Gill Sans Nova" w:cs="Gill Sans Nova"/>
                <w:b w:val="1"/>
                <w:bCs w:val="1"/>
                <w:sz w:val="24"/>
                <w:szCs w:val="24"/>
                <w:lang w:val="no"/>
              </w:rPr>
              <w:t>Læringsressurser:</w:t>
            </w:r>
            <w:r w:rsidRPr="42364BEB" w:rsidR="42364BEB">
              <w:rPr>
                <w:rFonts w:ascii="Arial" w:hAnsi="Arial" w:eastAsia="Arial" w:cs="Arial"/>
                <w:color w:val="000000" w:themeColor="text1" w:themeTint="FF" w:themeShade="FF"/>
                <w:sz w:val="20"/>
                <w:szCs w:val="20"/>
                <w:lang w:val="no"/>
              </w:rPr>
              <w:t xml:space="preserve"> Autentiske tekster velges med utgangspunkt i deltakernes behov. Deltakerne vil selv være delaktige i innsamlingen og utvelgelsen av autentisk materiale.</w:t>
            </w:r>
          </w:p>
        </w:tc>
      </w:tr>
      <w:tr w:rsidR="42364BEB" w:rsidTr="42364BEB" w14:paraId="50AC3415">
        <w:trPr>
          <w:trHeight w:val="2025"/>
        </w:trPr>
        <w:tc>
          <w:tcPr>
            <w:tcW w:w="9000" w:type="dxa"/>
            <w:tcBorders>
              <w:top w:val="single" w:color="2F5496" w:themeColor="accent1" w:themeShade="BF" w:sz="12"/>
              <w:left w:val="single" w:color="2F5496" w:themeColor="accent1" w:themeShade="BF" w:sz="12"/>
              <w:bottom w:val="single" w:color="2F5496" w:themeColor="accent1" w:themeShade="BF" w:sz="12"/>
              <w:right w:val="single" w:color="2F5496" w:themeColor="accent1" w:themeShade="BF" w:sz="12"/>
            </w:tcBorders>
            <w:shd w:val="clear" w:color="auto" w:fill="DEEAF6" w:themeFill="accent5" w:themeFillTint="33"/>
            <w:tcMar>
              <w:left w:w="90" w:type="dxa"/>
              <w:right w:w="90" w:type="dxa"/>
            </w:tcMar>
            <w:vAlign w:val="center"/>
          </w:tcPr>
          <w:p w:rsidR="42364BEB" w:rsidP="42364BEB" w:rsidRDefault="42364BEB" w14:paraId="7D5C379B" w14:textId="1D1770A6">
            <w:pPr>
              <w:spacing w:before="240" w:after="240" w:line="360" w:lineRule="exact"/>
              <w:ind w:left="-20" w:right="-20"/>
              <w:rPr>
                <w:rFonts w:ascii="Arial" w:hAnsi="Arial" w:eastAsia="Arial" w:cs="Arial"/>
                <w:color w:val="2E74B5" w:themeColor="accent5" w:themeTint="FF" w:themeShade="BF"/>
                <w:sz w:val="18"/>
                <w:szCs w:val="18"/>
              </w:rPr>
            </w:pPr>
            <w:r w:rsidRPr="42364BEB" w:rsidR="42364BEB">
              <w:rPr>
                <w:rFonts w:ascii="Gill Sans Nova" w:hAnsi="Gill Sans Nova" w:eastAsia="Gill Sans Nova" w:cs="Gill Sans Nova"/>
                <w:b w:val="1"/>
                <w:bCs w:val="1"/>
                <w:color w:val="000000" w:themeColor="text1" w:themeTint="FF" w:themeShade="FF"/>
                <w:sz w:val="24"/>
                <w:szCs w:val="24"/>
                <w:lang w:val="no"/>
              </w:rPr>
              <w:t>Arbeidsm</w:t>
            </w:r>
            <w:r w:rsidRPr="42364BEB" w:rsidR="42364BEB">
              <w:rPr>
                <w:rFonts w:ascii="Calibri" w:hAnsi="Calibri" w:eastAsia="Calibri" w:cs="Calibri"/>
                <w:b w:val="1"/>
                <w:bCs w:val="1"/>
                <w:color w:val="000000" w:themeColor="text1" w:themeTint="FF" w:themeShade="FF"/>
                <w:sz w:val="24"/>
                <w:szCs w:val="24"/>
                <w:lang w:val="no"/>
              </w:rPr>
              <w:t>å</w:t>
            </w:r>
            <w:r w:rsidRPr="42364BEB" w:rsidR="42364BEB">
              <w:rPr>
                <w:rFonts w:ascii="Gill Sans Nova" w:hAnsi="Gill Sans Nova" w:eastAsia="Gill Sans Nova" w:cs="Gill Sans Nova"/>
                <w:b w:val="1"/>
                <w:bCs w:val="1"/>
                <w:color w:val="000000" w:themeColor="text1" w:themeTint="FF" w:themeShade="FF"/>
                <w:sz w:val="24"/>
                <w:szCs w:val="24"/>
                <w:lang w:val="no"/>
              </w:rPr>
              <w:t xml:space="preserve">ter </w:t>
            </w:r>
            <w:r w:rsidRPr="42364BEB" w:rsidR="42364BEB">
              <w:rPr>
                <w:rFonts w:ascii="Arial" w:hAnsi="Arial" w:eastAsia="Arial" w:cs="Arial"/>
                <w:color w:val="2E74B5" w:themeColor="accent5" w:themeTint="FF" w:themeShade="BF"/>
                <w:sz w:val="18"/>
                <w:szCs w:val="18"/>
                <w:lang w:val="no"/>
              </w:rPr>
              <w:t>(Hvilke læringsaktiviteter skal gjennomføres? Hva skal deltakerne gjøre? Hva skal læreren gjøre? Se hen til kompetanseforståelsen og språklæringssynet i læreplanen for å sikre at arbeidsmåtene er i tråd med dette.)</w:t>
            </w:r>
          </w:p>
          <w:p w:rsidR="42364BEB" w:rsidP="42364BEB" w:rsidRDefault="42364BEB" w14:paraId="0E10D42E" w14:textId="52CD045D">
            <w:pPr>
              <w:pStyle w:val="ListParagraph"/>
              <w:numPr>
                <w:ilvl w:val="0"/>
                <w:numId w:val="7"/>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strike w:val="0"/>
                <w:dstrike w:val="0"/>
                <w:color w:val="000000" w:themeColor="text1" w:themeTint="FF" w:themeShade="FF"/>
                <w:sz w:val="22"/>
                <w:szCs w:val="22"/>
                <w:u w:val="single"/>
                <w:lang w:val="nb-NO"/>
              </w:rPr>
              <w:t>Oppstart</w:t>
            </w:r>
            <w:r w:rsidRPr="42364BEB" w:rsidR="42364BEB">
              <w:rPr>
                <w:rFonts w:ascii="Arial" w:hAnsi="Arial" w:eastAsia="Arial" w:cs="Arial"/>
                <w:color w:val="000000" w:themeColor="text1" w:themeTint="FF" w:themeShade="FF"/>
                <w:sz w:val="22"/>
                <w:szCs w:val="22"/>
                <w:lang w:val="nb-NO"/>
              </w:rPr>
              <w:t xml:space="preserve">: PowerPoint presentasjon med eksempler på autentiske tekster/materiale som finnes i vår hverdag. </w:t>
            </w:r>
          </w:p>
          <w:p w:rsidR="42364BEB" w:rsidP="42364BEB" w:rsidRDefault="42364BEB" w14:paraId="37FBE2B2" w14:textId="1394218D">
            <w:pPr>
              <w:pStyle w:val="ListParagraph"/>
              <w:numPr>
                <w:ilvl w:val="0"/>
                <w:numId w:val="7"/>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strike w:val="0"/>
                <w:dstrike w:val="0"/>
                <w:color w:val="000000" w:themeColor="text1" w:themeTint="FF" w:themeShade="FF"/>
                <w:sz w:val="22"/>
                <w:szCs w:val="22"/>
                <w:u w:val="single"/>
                <w:lang w:val="nb-NO"/>
              </w:rPr>
              <w:t>Klassesamtale:</w:t>
            </w:r>
            <w:r w:rsidRPr="42364BEB" w:rsidR="42364BEB">
              <w:rPr>
                <w:rFonts w:ascii="Arial" w:hAnsi="Arial" w:eastAsia="Arial" w:cs="Arial"/>
                <w:color w:val="000000" w:themeColor="text1" w:themeTint="FF" w:themeShade="FF"/>
                <w:sz w:val="22"/>
                <w:szCs w:val="22"/>
                <w:lang w:val="nb-NO"/>
              </w:rPr>
              <w:t xml:space="preserve"> Hvorfor trenger du å kunne lese i din hverdag? Hva er viktig for deg å kunne lese? </w:t>
            </w:r>
          </w:p>
          <w:p w:rsidR="42364BEB" w:rsidP="42364BEB" w:rsidRDefault="42364BEB" w14:paraId="49B61D98" w14:textId="4BE7FEDC">
            <w:pPr>
              <w:pStyle w:val="ListParagraph"/>
              <w:numPr>
                <w:ilvl w:val="0"/>
                <w:numId w:val="7"/>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strike w:val="0"/>
                <w:dstrike w:val="0"/>
                <w:color w:val="000000" w:themeColor="text1" w:themeTint="FF" w:themeShade="FF"/>
                <w:sz w:val="22"/>
                <w:szCs w:val="22"/>
                <w:u w:val="single"/>
                <w:lang w:val="nb-NO"/>
              </w:rPr>
              <w:t xml:space="preserve">Integreringsoppgaver </w:t>
            </w:r>
            <w:r w:rsidRPr="42364BEB" w:rsidR="42364BEB">
              <w:rPr>
                <w:rFonts w:ascii="Arial" w:hAnsi="Arial" w:eastAsia="Arial" w:cs="Arial"/>
                <w:color w:val="000000" w:themeColor="text1" w:themeTint="FF" w:themeShade="FF"/>
                <w:sz w:val="22"/>
                <w:szCs w:val="22"/>
                <w:lang w:val="nb-NO"/>
              </w:rPr>
              <w:t>med støtte:</w:t>
            </w:r>
          </w:p>
          <w:p w:rsidR="42364BEB" w:rsidP="42364BEB" w:rsidRDefault="42364BEB" w14:paraId="3192803F" w14:textId="640FE497">
            <w:pPr>
              <w:pStyle w:val="ListParagraph"/>
              <w:numPr>
                <w:ilvl w:val="0"/>
                <w:numId w:val="10"/>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color w:val="000000" w:themeColor="text1" w:themeTint="FF" w:themeShade="FF"/>
                <w:sz w:val="22"/>
                <w:szCs w:val="22"/>
                <w:lang w:val="nb-NO"/>
              </w:rPr>
              <w:t xml:space="preserve">Gå en runde på skolen for å samle inn autentisk materiale i en kjent kontekst (skolen). På denne måten øver vi på integreringsoppgaver, slik at det antagelig blir lettere for deltakerne å samle inn selvstendig i etterkant. </w:t>
            </w:r>
          </w:p>
          <w:p w:rsidR="42364BEB" w:rsidP="42364BEB" w:rsidRDefault="42364BEB" w14:paraId="5E0A2293" w14:textId="1B560A7D">
            <w:pPr>
              <w:pStyle w:val="ListParagraph"/>
              <w:numPr>
                <w:ilvl w:val="0"/>
                <w:numId w:val="10"/>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color w:val="000000" w:themeColor="text1" w:themeTint="FF" w:themeShade="FF"/>
                <w:sz w:val="22"/>
                <w:szCs w:val="22"/>
                <w:lang w:val="nb-NO"/>
              </w:rPr>
              <w:t xml:space="preserve">Deltakerne samler inn autentisk materiale som vi skal jobbe med på skolen. De tar bilder med egen telefon og sender dette på Whatsapp (her kan også bilder på iPad brukes, hvis deltakerne har dette). </w:t>
            </w:r>
          </w:p>
          <w:p w:rsidR="42364BEB" w:rsidP="42364BEB" w:rsidRDefault="42364BEB" w14:paraId="0AB49375" w14:textId="164FE90C">
            <w:pPr>
              <w:pStyle w:val="ListParagraph"/>
              <w:numPr>
                <w:ilvl w:val="0"/>
                <w:numId w:val="10"/>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color w:val="000000" w:themeColor="text1" w:themeTint="FF" w:themeShade="FF"/>
                <w:sz w:val="22"/>
                <w:szCs w:val="22"/>
                <w:lang w:val="nb-NO"/>
              </w:rPr>
              <w:t>Jeg og deltakerne tar et utvalg av materiale sammen. Hvilket autentisk materiale trenger dere å øve på? Vi holder fokus på hverdagslivsmestring ift. Lesing.</w:t>
            </w:r>
          </w:p>
          <w:p w:rsidR="42364BEB" w:rsidP="42364BEB" w:rsidRDefault="42364BEB" w14:paraId="5F51AF30" w14:textId="537DBBF7">
            <w:pPr>
              <w:pStyle w:val="ListParagraph"/>
              <w:numPr>
                <w:ilvl w:val="0"/>
                <w:numId w:val="10"/>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color w:val="000000" w:themeColor="text1" w:themeTint="FF" w:themeShade="FF"/>
                <w:sz w:val="22"/>
                <w:szCs w:val="22"/>
                <w:lang w:val="nb-NO"/>
              </w:rPr>
              <w:t xml:space="preserve">Vi jobber med det autentisk materiale: </w:t>
            </w:r>
          </w:p>
          <w:p w:rsidR="42364BEB" w:rsidP="42364BEB" w:rsidRDefault="42364BEB" w14:paraId="6FEC4DC2" w14:textId="5F541695">
            <w:pPr>
              <w:pStyle w:val="ListParagraph"/>
              <w:numPr>
                <w:ilvl w:val="0"/>
                <w:numId w:val="10"/>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color w:val="000000" w:themeColor="text1" w:themeTint="FF" w:themeShade="FF"/>
                <w:sz w:val="22"/>
                <w:szCs w:val="22"/>
                <w:lang w:val="nb-NO"/>
              </w:rPr>
              <w:t>Lærer viser utvalgt autentiske materialet på projektoren i klasserommet.</w:t>
            </w:r>
          </w:p>
          <w:p w:rsidR="42364BEB" w:rsidP="42364BEB" w:rsidRDefault="42364BEB" w14:paraId="3901C9AF" w14:textId="42F5C48E">
            <w:pPr>
              <w:pStyle w:val="ListParagraph"/>
              <w:numPr>
                <w:ilvl w:val="0"/>
                <w:numId w:val="10"/>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color w:val="000000" w:themeColor="text1" w:themeTint="FF" w:themeShade="FF"/>
                <w:sz w:val="22"/>
                <w:szCs w:val="22"/>
                <w:lang w:val="nb-NO"/>
              </w:rPr>
              <w:t xml:space="preserve">Klassen leser materiale sammen, først lærer, deretter korlesing og så to og to. </w:t>
            </w:r>
          </w:p>
          <w:p w:rsidR="42364BEB" w:rsidP="42364BEB" w:rsidRDefault="42364BEB" w14:paraId="3E5AC3D6" w14:textId="34CE8E6E">
            <w:pPr>
              <w:pStyle w:val="ListParagraph"/>
              <w:numPr>
                <w:ilvl w:val="0"/>
                <w:numId w:val="10"/>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color w:val="000000" w:themeColor="text1" w:themeTint="FF" w:themeShade="FF"/>
                <w:sz w:val="22"/>
                <w:szCs w:val="22"/>
                <w:lang w:val="nb-NO"/>
              </w:rPr>
              <w:t xml:space="preserve">Deltakerne gjenforteller teksten til hverandre i par med egne ord. </w:t>
            </w:r>
          </w:p>
          <w:p w:rsidR="42364BEB" w:rsidP="42364BEB" w:rsidRDefault="42364BEB" w14:paraId="4D3215AB" w14:textId="12C3E0AD">
            <w:pPr>
              <w:pStyle w:val="ListParagraph"/>
              <w:numPr>
                <w:ilvl w:val="0"/>
                <w:numId w:val="10"/>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color w:val="000000" w:themeColor="text1" w:themeTint="FF" w:themeShade="FF"/>
                <w:sz w:val="22"/>
                <w:szCs w:val="22"/>
                <w:lang w:val="nb-NO"/>
              </w:rPr>
              <w:t>Klassen lager spørsmål og svar til materialet felles, individuelt og i par. Vi øver på å svare på i hele setninger: først muntlig - deretter skriftlig.</w:t>
            </w:r>
          </w:p>
          <w:p w:rsidR="42364BEB" w:rsidP="42364BEB" w:rsidRDefault="42364BEB" w14:paraId="0B5F8C09" w14:textId="3A123207">
            <w:pPr>
              <w:pStyle w:val="ListParagraph"/>
              <w:numPr>
                <w:ilvl w:val="0"/>
                <w:numId w:val="10"/>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color w:val="000000" w:themeColor="text1" w:themeTint="FF" w:themeShade="FF"/>
                <w:sz w:val="22"/>
                <w:szCs w:val="22"/>
                <w:lang w:val="nb-NO"/>
              </w:rPr>
              <w:t xml:space="preserve">Lærer forbereder spørsmål til materiale på forhånd. Arbeid med disse i klassen. </w:t>
            </w:r>
          </w:p>
          <w:p w:rsidR="42364BEB" w:rsidP="42364BEB" w:rsidRDefault="42364BEB" w14:paraId="40B41E14" w14:textId="33F54426">
            <w:pPr>
              <w:pStyle w:val="ListParagraph"/>
              <w:numPr>
                <w:ilvl w:val="0"/>
                <w:numId w:val="10"/>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color w:val="000000" w:themeColor="text1" w:themeTint="FF" w:themeShade="FF"/>
                <w:sz w:val="22"/>
                <w:szCs w:val="22"/>
                <w:lang w:val="nb-NO"/>
              </w:rPr>
              <w:t xml:space="preserve">Samtaler om hvordan vi kan “lese” ulikt materiale de møter i egen hverdag, eks. reklame, kalender, menyer, skilt, oppslag, invitasjoner, kvitteringer, værmeldinger, skilt, oppslag osv. </w:t>
            </w:r>
          </w:p>
          <w:p w:rsidR="42364BEB" w:rsidP="42364BEB" w:rsidRDefault="42364BEB" w14:paraId="65896A8C" w14:textId="6436A56A">
            <w:pPr>
              <w:pStyle w:val="ListParagraph"/>
              <w:numPr>
                <w:ilvl w:val="0"/>
                <w:numId w:val="10"/>
              </w:numPr>
              <w:spacing w:after="0" w:line="360" w:lineRule="auto"/>
              <w:ind w:left="-20" w:right="-20"/>
              <w:rPr>
                <w:rFonts w:ascii="Arial" w:hAnsi="Arial" w:eastAsia="Arial" w:cs="Arial"/>
                <w:color w:val="000000" w:themeColor="text1" w:themeTint="FF" w:themeShade="FF"/>
                <w:sz w:val="22"/>
                <w:szCs w:val="22"/>
              </w:rPr>
            </w:pPr>
            <w:r w:rsidRPr="42364BEB" w:rsidR="42364BEB">
              <w:rPr>
                <w:rFonts w:ascii="Arial" w:hAnsi="Arial" w:eastAsia="Arial" w:cs="Arial"/>
                <w:color w:val="000000" w:themeColor="text1" w:themeTint="FF" w:themeShade="FF"/>
                <w:sz w:val="22"/>
                <w:szCs w:val="22"/>
                <w:lang w:val="nb-NO"/>
              </w:rPr>
              <w:t>Samtaler om budskapet i ulikt materiale, om hvilken informasjon som er viktig å fokusere på i ulike typer tekster. Hvilken “lesestrategi” kan være hensiktsmessig? Støtter de seg på f.eks. kontekst (hvor), overskrift, bilder, viktige ord, kjente ord, tall osv.?</w:t>
            </w:r>
          </w:p>
          <w:p w:rsidR="42364BEB" w:rsidP="42364BEB" w:rsidRDefault="42364BEB" w14:paraId="7F8817DA" w14:textId="47732F33">
            <w:pPr>
              <w:spacing w:after="0" w:line="240" w:lineRule="exact"/>
              <w:rPr>
                <w:rFonts w:ascii="Arial" w:hAnsi="Arial" w:eastAsia="Arial" w:cs="Arial"/>
                <w:color w:val="000000" w:themeColor="text1" w:themeTint="FF" w:themeShade="FF"/>
                <w:sz w:val="24"/>
                <w:szCs w:val="24"/>
              </w:rPr>
            </w:pPr>
          </w:p>
        </w:tc>
      </w:tr>
      <w:tr w:rsidR="42364BEB" w:rsidTr="42364BEB" w14:paraId="7F88A058">
        <w:trPr>
          <w:trHeight w:val="2025"/>
        </w:trPr>
        <w:tc>
          <w:tcPr>
            <w:tcW w:w="9000" w:type="dxa"/>
            <w:tcBorders>
              <w:top w:val="single" w:color="2F5496" w:themeColor="accent1" w:themeShade="BF" w:sz="12"/>
              <w:left w:val="single" w:color="2F5496" w:themeColor="accent1" w:themeShade="BF" w:sz="12"/>
              <w:bottom w:val="single" w:color="2F5496" w:themeColor="accent1" w:themeShade="BF" w:sz="12"/>
              <w:right w:val="single" w:color="2F5496" w:themeColor="accent1" w:themeShade="BF" w:sz="12"/>
            </w:tcBorders>
            <w:shd w:val="clear" w:color="auto" w:fill="DEEAF6" w:themeFill="accent5" w:themeFillTint="33"/>
            <w:tcMar>
              <w:left w:w="90" w:type="dxa"/>
              <w:right w:w="90" w:type="dxa"/>
            </w:tcMar>
            <w:vAlign w:val="center"/>
          </w:tcPr>
          <w:p w:rsidR="42364BEB" w:rsidP="42364BEB" w:rsidRDefault="42364BEB" w14:paraId="7E2EE733" w14:textId="24CA556F">
            <w:pPr>
              <w:spacing w:before="240" w:after="240" w:line="360" w:lineRule="exact"/>
              <w:ind w:left="-20" w:right="-20"/>
              <w:rPr>
                <w:rFonts w:ascii="Arial" w:hAnsi="Arial" w:eastAsia="Arial" w:cs="Arial"/>
                <w:color w:val="2E74B5" w:themeColor="accent5" w:themeTint="FF" w:themeShade="BF"/>
                <w:sz w:val="18"/>
                <w:szCs w:val="18"/>
              </w:rPr>
            </w:pPr>
            <w:r w:rsidRPr="42364BEB" w:rsidR="42364BEB">
              <w:rPr>
                <w:rFonts w:ascii="Gill Sans Nova" w:hAnsi="Gill Sans Nova" w:eastAsia="Gill Sans Nova" w:cs="Gill Sans Nova"/>
                <w:b w:val="1"/>
                <w:bCs w:val="1"/>
                <w:color w:val="000000" w:themeColor="text1" w:themeTint="FF" w:themeShade="FF"/>
                <w:sz w:val="24"/>
                <w:szCs w:val="24"/>
                <w:lang w:val="no"/>
              </w:rPr>
              <w:t>Begrunnelse for valg av innhold og arbeidsm</w:t>
            </w:r>
            <w:r w:rsidRPr="42364BEB" w:rsidR="42364BEB">
              <w:rPr>
                <w:rFonts w:ascii="Calibri" w:hAnsi="Calibri" w:eastAsia="Calibri" w:cs="Calibri"/>
                <w:b w:val="1"/>
                <w:bCs w:val="1"/>
                <w:color w:val="000000" w:themeColor="text1" w:themeTint="FF" w:themeShade="FF"/>
                <w:sz w:val="24"/>
                <w:szCs w:val="24"/>
                <w:lang w:val="no"/>
              </w:rPr>
              <w:t>å</w:t>
            </w:r>
            <w:r w:rsidRPr="42364BEB" w:rsidR="42364BEB">
              <w:rPr>
                <w:rFonts w:ascii="Gill Sans Nova" w:hAnsi="Gill Sans Nova" w:eastAsia="Gill Sans Nova" w:cs="Gill Sans Nova"/>
                <w:b w:val="1"/>
                <w:bCs w:val="1"/>
                <w:color w:val="000000" w:themeColor="text1" w:themeTint="FF" w:themeShade="FF"/>
                <w:sz w:val="24"/>
                <w:szCs w:val="24"/>
                <w:lang w:val="no"/>
              </w:rPr>
              <w:t>ter</w:t>
            </w:r>
            <w:r w:rsidRPr="42364BEB" w:rsidR="42364BEB">
              <w:rPr>
                <w:rFonts w:ascii="Arial" w:hAnsi="Arial" w:eastAsia="Arial" w:cs="Arial"/>
                <w:color w:val="000000" w:themeColor="text1" w:themeTint="FF" w:themeShade="FF"/>
                <w:sz w:val="24"/>
                <w:szCs w:val="24"/>
                <w:lang w:val="no"/>
              </w:rPr>
              <w:t xml:space="preserve">: </w:t>
            </w:r>
            <w:r w:rsidRPr="42364BEB" w:rsidR="42364BEB">
              <w:rPr>
                <w:rFonts w:ascii="Arial" w:hAnsi="Arial" w:eastAsia="Arial" w:cs="Arial"/>
                <w:color w:val="2E74B5" w:themeColor="accent5" w:themeTint="FF" w:themeShade="BF"/>
                <w:sz w:val="20"/>
                <w:szCs w:val="20"/>
                <w:lang w:val="no"/>
              </w:rPr>
              <w:t>(</w:t>
            </w:r>
            <w:r w:rsidRPr="42364BEB" w:rsidR="42364BEB">
              <w:rPr>
                <w:rFonts w:ascii="Arial" w:hAnsi="Arial" w:eastAsia="Arial" w:cs="Arial"/>
                <w:color w:val="2E74B5" w:themeColor="accent5" w:themeTint="FF" w:themeShade="BF"/>
                <w:sz w:val="18"/>
                <w:szCs w:val="18"/>
                <w:lang w:val="no"/>
              </w:rPr>
              <w:t xml:space="preserve">Hvorfor er dette innholdet og disse arbeidsmåtene hensiktsmessig for at de aktuelle deltakerne skal nå det aktuelle kompetansemålet og planens overordnede mål? </w:t>
            </w:r>
          </w:p>
          <w:p w:rsidR="42364BEB" w:rsidP="42364BEB" w:rsidRDefault="42364BEB" w14:paraId="58119701" w14:textId="75B33A13">
            <w:pPr>
              <w:spacing w:after="0" w:line="240" w:lineRule="exact"/>
              <w:rPr>
                <w:rFonts w:ascii="Arial" w:hAnsi="Arial" w:eastAsia="Arial" w:cs="Arial"/>
                <w:color w:val="2F5496" w:themeColor="accent1" w:themeTint="FF" w:themeShade="BF"/>
                <w:sz w:val="20"/>
                <w:szCs w:val="20"/>
              </w:rPr>
            </w:pPr>
            <w:r w:rsidRPr="42364BEB" w:rsidR="42364BEB">
              <w:rPr>
                <w:rFonts w:ascii="Arial" w:hAnsi="Arial" w:eastAsia="Arial" w:cs="Arial"/>
                <w:b w:val="1"/>
                <w:bCs w:val="1"/>
                <w:color w:val="2F5496" w:themeColor="accent1" w:themeTint="FF" w:themeShade="BF"/>
                <w:sz w:val="20"/>
                <w:szCs w:val="20"/>
                <w:lang w:val="no"/>
              </w:rPr>
              <w:t>Ressursperspektivet og fokus på behov og relevans:</w:t>
            </w:r>
            <w:r w:rsidRPr="42364BEB" w:rsidR="42364BEB">
              <w:rPr>
                <w:rFonts w:ascii="Arial" w:hAnsi="Arial" w:eastAsia="Arial" w:cs="Arial"/>
                <w:color w:val="2F5496" w:themeColor="accent1" w:themeTint="FF" w:themeShade="BF"/>
                <w:sz w:val="20"/>
                <w:szCs w:val="20"/>
                <w:lang w:val="no"/>
              </w:rPr>
              <w:t xml:space="preserve"> </w:t>
            </w:r>
          </w:p>
          <w:p w:rsidR="42364BEB" w:rsidP="42364BEB" w:rsidRDefault="42364BEB" w14:paraId="335B1087" w14:textId="400414FD">
            <w:pPr>
              <w:pStyle w:val="ListParagraph"/>
              <w:numPr>
                <w:ilvl w:val="0"/>
                <w:numId w:val="21"/>
              </w:numPr>
              <w:spacing w:after="0" w:line="360" w:lineRule="auto"/>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o"/>
              </w:rPr>
              <w:t>Deltakerne er med på utvalg av tekster for å sikre at tekstene er relevante og meningsfulle for dem.</w:t>
            </w:r>
          </w:p>
          <w:p w:rsidR="42364BEB" w:rsidP="42364BEB" w:rsidRDefault="42364BEB" w14:paraId="70DB8C2B" w14:textId="29F5666B">
            <w:pPr>
              <w:pStyle w:val="ListParagraph"/>
              <w:numPr>
                <w:ilvl w:val="0"/>
                <w:numId w:val="21"/>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o"/>
              </w:rPr>
              <w:t xml:space="preserve"> Deltakernes kommunikative behov er utgangspunktet for valg av tekster.</w:t>
            </w:r>
          </w:p>
          <w:p w:rsidR="42364BEB" w:rsidP="42364BEB" w:rsidRDefault="42364BEB" w14:paraId="1B016E3E" w14:textId="15D39487">
            <w:pPr>
              <w:pStyle w:val="ListParagraph"/>
              <w:numPr>
                <w:ilvl w:val="0"/>
                <w:numId w:val="21"/>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o"/>
              </w:rPr>
              <w:t xml:space="preserve"> Integreringsoppgaver for å hente inn inn språket deltakerne har behov for å mestre i livet utenfor skolen. </w:t>
            </w:r>
          </w:p>
          <w:p w:rsidR="42364BEB" w:rsidP="42364BEB" w:rsidRDefault="42364BEB" w14:paraId="0F957BD0" w14:textId="48072956">
            <w:pPr>
              <w:pStyle w:val="ListParagraph"/>
              <w:numPr>
                <w:ilvl w:val="0"/>
                <w:numId w:val="21"/>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o"/>
              </w:rPr>
              <w:t>Valg av tekster åpner opp for medbestemmelse for deltakerne etter deres behov for tekst i deres hverdag</w:t>
            </w:r>
          </w:p>
          <w:p w:rsidR="42364BEB" w:rsidP="42364BEB" w:rsidRDefault="42364BEB" w14:paraId="109876CD" w14:textId="7249C57B">
            <w:pPr>
              <w:spacing w:after="0" w:line="240" w:lineRule="exact"/>
              <w:rPr>
                <w:rFonts w:ascii="Arial" w:hAnsi="Arial" w:eastAsia="Arial" w:cs="Arial"/>
                <w:color w:val="262626" w:themeColor="text1" w:themeTint="D9" w:themeShade="FF"/>
                <w:sz w:val="24"/>
                <w:szCs w:val="24"/>
              </w:rPr>
            </w:pPr>
          </w:p>
        </w:tc>
      </w:tr>
      <w:tr w:rsidR="42364BEB" w:rsidTr="42364BEB" w14:paraId="39A21120">
        <w:trPr>
          <w:trHeight w:val="1425"/>
        </w:trPr>
        <w:tc>
          <w:tcPr>
            <w:tcW w:w="9000" w:type="dxa"/>
            <w:tcBorders>
              <w:top w:val="single" w:color="2F5496" w:themeColor="accent1" w:themeShade="BF" w:sz="12"/>
              <w:left w:val="single" w:color="2F5496" w:themeColor="accent1" w:themeShade="BF" w:sz="12"/>
              <w:bottom w:val="single" w:color="2F5496" w:themeColor="accent1" w:themeShade="BF" w:sz="12"/>
              <w:right w:val="single" w:color="2F5496" w:themeColor="accent1" w:themeShade="BF" w:sz="12"/>
            </w:tcBorders>
            <w:shd w:val="clear" w:color="auto" w:fill="DEEAF6" w:themeFill="accent5" w:themeFillTint="33"/>
            <w:tcMar>
              <w:left w:w="90" w:type="dxa"/>
              <w:right w:w="90" w:type="dxa"/>
            </w:tcMar>
            <w:vAlign w:val="center"/>
          </w:tcPr>
          <w:p w:rsidR="42364BEB" w:rsidP="42364BEB" w:rsidRDefault="42364BEB" w14:paraId="33AB4C22" w14:textId="3D2C03B1">
            <w:pPr>
              <w:spacing w:before="240" w:after="240" w:line="360" w:lineRule="exact"/>
              <w:ind w:left="-20" w:right="-20"/>
              <w:rPr>
                <w:rFonts w:ascii="Arial" w:hAnsi="Arial" w:eastAsia="Arial" w:cs="Arial"/>
                <w:color w:val="2E74B5" w:themeColor="accent5" w:themeTint="FF" w:themeShade="BF"/>
                <w:sz w:val="18"/>
                <w:szCs w:val="18"/>
              </w:rPr>
            </w:pPr>
            <w:r w:rsidRPr="42364BEB" w:rsidR="42364BEB">
              <w:rPr>
                <w:rFonts w:ascii="Gill Sans Nova" w:hAnsi="Gill Sans Nova" w:eastAsia="Gill Sans Nova" w:cs="Gill Sans Nova"/>
                <w:b w:val="1"/>
                <w:bCs w:val="1"/>
                <w:color w:val="000000" w:themeColor="text1" w:themeTint="FF" w:themeShade="FF"/>
                <w:sz w:val="24"/>
                <w:szCs w:val="24"/>
                <w:lang w:val="no"/>
              </w:rPr>
              <w:t xml:space="preserve">Vurdering </w:t>
            </w:r>
            <w:r w:rsidRPr="42364BEB" w:rsidR="42364BEB">
              <w:rPr>
                <w:rFonts w:ascii="Arial" w:hAnsi="Arial" w:eastAsia="Arial" w:cs="Arial"/>
                <w:color w:val="2E74B5" w:themeColor="accent5" w:themeTint="FF" w:themeShade="BF"/>
                <w:sz w:val="20"/>
                <w:szCs w:val="20"/>
                <w:lang w:val="no"/>
              </w:rPr>
              <w:t>(</w:t>
            </w:r>
            <w:r w:rsidRPr="42364BEB" w:rsidR="42364BEB">
              <w:rPr>
                <w:rFonts w:ascii="Arial" w:hAnsi="Arial" w:eastAsia="Arial" w:cs="Arial"/>
                <w:color w:val="2E74B5" w:themeColor="accent5" w:themeTint="FF" w:themeShade="BF"/>
                <w:sz w:val="18"/>
                <w:szCs w:val="18"/>
                <w:lang w:val="no"/>
              </w:rPr>
              <w:t>Hva skal vurderes av hvem hvordan? Egenvurdering? Hverandrevurdering? Lærervurdering? Får kompetanseforståelsen betydning for hvordan vi  måler kompetanse?)</w:t>
            </w:r>
          </w:p>
          <w:p w:rsidR="42364BEB" w:rsidP="42364BEB" w:rsidRDefault="42364BEB" w14:paraId="3FEBBCE9" w14:textId="65721ACA">
            <w:pPr>
              <w:spacing w:before="240" w:after="240" w:line="360" w:lineRule="auto"/>
              <w:ind w:left="-20" w:right="-20"/>
              <w:rPr>
                <w:rFonts w:ascii="Arial" w:hAnsi="Arial" w:eastAsia="Arial" w:cs="Arial"/>
                <w:color w:val="000000" w:themeColor="text1" w:themeTint="FF" w:themeShade="FF"/>
                <w:sz w:val="20"/>
                <w:szCs w:val="20"/>
              </w:rPr>
            </w:pPr>
            <w:r w:rsidRPr="42364BEB" w:rsidR="42364BEB">
              <w:rPr>
                <w:rFonts w:ascii="Arial" w:hAnsi="Arial" w:eastAsia="Arial" w:cs="Arial"/>
                <w:b w:val="1"/>
                <w:bCs w:val="1"/>
                <w:strike w:val="0"/>
                <w:dstrike w:val="0"/>
                <w:color w:val="000000" w:themeColor="text1" w:themeTint="FF" w:themeShade="FF"/>
                <w:sz w:val="20"/>
                <w:szCs w:val="20"/>
                <w:u w:val="single"/>
                <w:lang w:val="no"/>
              </w:rPr>
              <w:t xml:space="preserve">Lærervurdering: </w:t>
            </w:r>
          </w:p>
          <w:p w:rsidR="42364BEB" w:rsidP="42364BEB" w:rsidRDefault="42364BEB" w14:paraId="3AED785A" w14:textId="19ED6135">
            <w:pPr>
              <w:pStyle w:val="ListParagraph"/>
              <w:numPr>
                <w:ilvl w:val="0"/>
                <w:numId w:val="25"/>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o"/>
              </w:rPr>
              <w:t>Bruke autentiske tekster en har jobbet med/ ny tekst (avhengig av nivå)</w:t>
            </w:r>
          </w:p>
          <w:p w:rsidR="42364BEB" w:rsidP="42364BEB" w:rsidRDefault="42364BEB" w14:paraId="41493072" w14:textId="3BB0E479">
            <w:pPr>
              <w:pStyle w:val="ListParagraph"/>
              <w:numPr>
                <w:ilvl w:val="0"/>
                <w:numId w:val="25"/>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o"/>
              </w:rPr>
              <w:t>Se på verb i kompetansemålet -gi oppgaver som tester verbene i kompetansemålet</w:t>
            </w:r>
          </w:p>
          <w:p w:rsidR="42364BEB" w:rsidP="42364BEB" w:rsidRDefault="42364BEB" w14:paraId="6C66D3A9" w14:textId="22AFB73A">
            <w:pPr>
              <w:spacing w:before="240" w:after="240" w:line="360" w:lineRule="auto"/>
              <w:ind w:left="-20"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b w:val="1"/>
                <w:bCs w:val="1"/>
                <w:strike w:val="0"/>
                <w:dstrike w:val="0"/>
                <w:color w:val="000000" w:themeColor="text1" w:themeTint="FF" w:themeShade="FF"/>
                <w:sz w:val="24"/>
                <w:szCs w:val="24"/>
                <w:u w:val="single"/>
                <w:lang w:val="no"/>
              </w:rPr>
              <w:t xml:space="preserve">Egenvurdering: </w:t>
            </w:r>
          </w:p>
          <w:p w:rsidR="42364BEB" w:rsidP="42364BEB" w:rsidRDefault="42364BEB" w14:paraId="1691A00D" w14:textId="6CAD5C60">
            <w:pPr>
              <w:pStyle w:val="ListParagraph"/>
              <w:numPr>
                <w:ilvl w:val="0"/>
                <w:numId w:val="27"/>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o"/>
              </w:rPr>
              <w:t xml:space="preserve">Samtale med deltakerne om hva de har lært og hvordan de har lært det. </w:t>
            </w:r>
          </w:p>
          <w:p w:rsidR="42364BEB" w:rsidP="42364BEB" w:rsidRDefault="42364BEB" w14:paraId="7B878740" w14:textId="079042F8">
            <w:pPr>
              <w:pStyle w:val="ListParagraph"/>
              <w:numPr>
                <w:ilvl w:val="0"/>
                <w:numId w:val="27"/>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o"/>
              </w:rPr>
              <w:t xml:space="preserve">Spørre deltakerne om hvilke lesestrategier de mener er hensiktsmessige når vi skal lese autentisk materiale: Kan man støtte seg på feks. kontekst, bilder/logoer, overskrift, viktige ord, tall osv.? </w:t>
            </w:r>
          </w:p>
          <w:p w:rsidR="42364BEB" w:rsidP="42364BEB" w:rsidRDefault="42364BEB" w14:paraId="026AD828" w14:textId="486B7FA0">
            <w:pPr>
              <w:pStyle w:val="ListParagraph"/>
              <w:numPr>
                <w:ilvl w:val="0"/>
                <w:numId w:val="27"/>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o"/>
              </w:rPr>
              <w:t>Samtale om selve kompetansemålet. Hva mestrer dere? Hva må øves mer på?</w:t>
            </w:r>
          </w:p>
          <w:p w:rsidR="42364BEB" w:rsidP="42364BEB" w:rsidRDefault="42364BEB" w14:paraId="2371D0C3" w14:textId="2F060D71">
            <w:pPr>
              <w:spacing w:before="240" w:after="240" w:line="360" w:lineRule="auto"/>
              <w:ind w:left="-20"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b w:val="1"/>
                <w:bCs w:val="1"/>
                <w:strike w:val="0"/>
                <w:dstrike w:val="0"/>
                <w:color w:val="000000" w:themeColor="text1" w:themeTint="FF" w:themeShade="FF"/>
                <w:sz w:val="24"/>
                <w:szCs w:val="24"/>
                <w:u w:val="single"/>
                <w:lang w:val="no"/>
              </w:rPr>
              <w:t xml:space="preserve">Evaluering: </w:t>
            </w:r>
          </w:p>
          <w:p w:rsidR="42364BEB" w:rsidP="42364BEB" w:rsidRDefault="42364BEB" w14:paraId="50246337" w14:textId="097EA489">
            <w:pPr>
              <w:pStyle w:val="ListParagraph"/>
              <w:numPr>
                <w:ilvl w:val="0"/>
                <w:numId w:val="30"/>
              </w:numPr>
              <w:spacing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o"/>
              </w:rPr>
              <w:t>To stjerner og et ønske: Deltakerne nevner to positive ting, og et ønske om forbedring på måten vi har jobbet på.</w:t>
            </w:r>
          </w:p>
        </w:tc>
      </w:tr>
      <w:tr w:rsidR="42364BEB" w:rsidTr="42364BEB" w14:paraId="43FB19C7">
        <w:trPr>
          <w:trHeight w:val="1425"/>
        </w:trPr>
        <w:tc>
          <w:tcPr>
            <w:tcW w:w="9000" w:type="dxa"/>
            <w:tcBorders>
              <w:top w:val="single" w:color="2F5496" w:themeColor="accent1" w:themeShade="BF" w:sz="12"/>
              <w:left w:val="single" w:color="2F5496" w:themeColor="accent1" w:themeShade="BF" w:sz="12"/>
              <w:bottom w:val="single" w:color="2F5496" w:themeColor="accent1" w:themeShade="BF" w:sz="12"/>
              <w:right w:val="single" w:color="2F5496" w:themeColor="accent1" w:themeShade="BF" w:sz="12"/>
            </w:tcBorders>
            <w:shd w:val="clear" w:color="auto" w:fill="DEEAF6" w:themeFill="accent5" w:themeFillTint="33"/>
            <w:tcMar>
              <w:left w:w="90" w:type="dxa"/>
              <w:right w:w="90" w:type="dxa"/>
            </w:tcMar>
            <w:vAlign w:val="center"/>
          </w:tcPr>
          <w:p w:rsidR="42364BEB" w:rsidP="42364BEB" w:rsidRDefault="42364BEB" w14:paraId="2DB65A81" w14:textId="7DBCA6F3">
            <w:pPr>
              <w:spacing w:before="240" w:after="240" w:line="360" w:lineRule="exact"/>
              <w:ind w:left="-20" w:right="-20"/>
              <w:rPr>
                <w:rFonts w:ascii="Arial" w:hAnsi="Arial" w:eastAsia="Arial" w:cs="Arial"/>
                <w:color w:val="2E74B5" w:themeColor="accent5" w:themeTint="FF" w:themeShade="BF"/>
                <w:sz w:val="18"/>
                <w:szCs w:val="18"/>
              </w:rPr>
            </w:pPr>
            <w:r w:rsidRPr="42364BEB" w:rsidR="42364BEB">
              <w:rPr>
                <w:rFonts w:ascii="Gill Sans Nova" w:hAnsi="Gill Sans Nova" w:eastAsia="Gill Sans Nova" w:cs="Gill Sans Nova"/>
                <w:b w:val="1"/>
                <w:bCs w:val="1"/>
                <w:color w:val="000000" w:themeColor="text1" w:themeTint="FF" w:themeShade="FF"/>
                <w:sz w:val="24"/>
                <w:szCs w:val="24"/>
                <w:lang w:val="no"/>
              </w:rPr>
              <w:t>Rammefaktorer</w:t>
            </w:r>
            <w:r w:rsidRPr="42364BEB" w:rsidR="42364BEB">
              <w:rPr>
                <w:rFonts w:ascii="Arial" w:hAnsi="Arial" w:eastAsia="Arial" w:cs="Arial"/>
                <w:color w:val="000000" w:themeColor="text1" w:themeTint="FF" w:themeShade="FF"/>
                <w:sz w:val="24"/>
                <w:szCs w:val="24"/>
                <w:lang w:val="no"/>
              </w:rPr>
              <w:t xml:space="preserve">: </w:t>
            </w:r>
            <w:r w:rsidRPr="42364BEB" w:rsidR="42364BEB">
              <w:rPr>
                <w:rFonts w:ascii="Arial" w:hAnsi="Arial" w:eastAsia="Arial" w:cs="Arial"/>
                <w:color w:val="000000" w:themeColor="text1" w:themeTint="FF" w:themeShade="FF"/>
                <w:sz w:val="16"/>
                <w:szCs w:val="16"/>
                <w:lang w:val="no"/>
              </w:rPr>
              <w:t>(</w:t>
            </w:r>
            <w:r w:rsidRPr="42364BEB" w:rsidR="42364BEB">
              <w:rPr>
                <w:rFonts w:ascii="Arial" w:hAnsi="Arial" w:eastAsia="Arial" w:cs="Arial"/>
                <w:color w:val="2E74B5" w:themeColor="accent5" w:themeTint="FF" w:themeShade="BF"/>
                <w:sz w:val="18"/>
                <w:szCs w:val="18"/>
                <w:lang w:val="no"/>
              </w:rPr>
              <w:t>Hvilke rammefaktorer virker fremmende/ hemmende for læring i læringsaktivitetene som er planlagt? Romforhold inne/ute, organisering av dagen, faglig progresjon, skolens tradisjon, tidsrammer, læringsressurser++?)</w:t>
            </w:r>
          </w:p>
          <w:p w:rsidR="42364BEB" w:rsidP="42364BEB" w:rsidRDefault="42364BEB" w14:paraId="7CA7548B" w14:textId="720611AA">
            <w:pPr>
              <w:pStyle w:val="ListParagraph"/>
              <w:numPr>
                <w:ilvl w:val="0"/>
                <w:numId w:val="31"/>
              </w:numPr>
              <w:spacing w:before="240"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o"/>
              </w:rPr>
              <w:t xml:space="preserve">Integreringsoppgaver som arbeidsmetode er en relativt ny måte å arbeide på. Det bør brukes tid til å “øve” på å samle inn autentisk materiale. </w:t>
            </w:r>
          </w:p>
          <w:p w:rsidR="42364BEB" w:rsidP="42364BEB" w:rsidRDefault="42364BEB" w14:paraId="26599926" w14:textId="792FC983">
            <w:pPr>
              <w:pStyle w:val="ListParagraph"/>
              <w:numPr>
                <w:ilvl w:val="0"/>
                <w:numId w:val="31"/>
              </w:numPr>
              <w:spacing w:before="240" w:after="0" w:line="360" w:lineRule="auto"/>
              <w:ind w:right="-20"/>
              <w:rPr>
                <w:rFonts w:ascii="Calibri" w:hAnsi="Calibri" w:eastAsia="Calibri" w:cs="Calibri"/>
                <w:color w:val="000000" w:themeColor="text1" w:themeTint="FF" w:themeShade="FF"/>
                <w:sz w:val="24"/>
                <w:szCs w:val="24"/>
              </w:rPr>
            </w:pPr>
            <w:r w:rsidRPr="42364BEB" w:rsidR="42364BEB">
              <w:rPr>
                <w:rFonts w:ascii="Calibri" w:hAnsi="Calibri" w:eastAsia="Calibri" w:cs="Calibri"/>
                <w:color w:val="000000" w:themeColor="text1" w:themeTint="FF" w:themeShade="FF"/>
                <w:sz w:val="24"/>
                <w:szCs w:val="24"/>
                <w:lang w:val="no"/>
              </w:rPr>
              <w:t xml:space="preserve">Tidsrammer: Lærer er kun inne i klassen 3 timer i uka. Siden kontaktlæreren i denne klassen ser deltakerne oftere, vil det være nyttig å involvere henne i opplegget. </w:t>
            </w:r>
          </w:p>
          <w:p w:rsidR="42364BEB" w:rsidP="42364BEB" w:rsidRDefault="42364BEB" w14:paraId="2CD39CDA" w14:textId="0CBB32E9">
            <w:pPr>
              <w:spacing w:after="0" w:line="240" w:lineRule="exact"/>
              <w:rPr>
                <w:rFonts w:ascii="Arial" w:hAnsi="Arial" w:eastAsia="Arial" w:cs="Arial"/>
                <w:color w:val="000000" w:themeColor="text1" w:themeTint="FF" w:themeShade="FF"/>
                <w:sz w:val="24"/>
                <w:szCs w:val="24"/>
              </w:rPr>
            </w:pPr>
          </w:p>
        </w:tc>
      </w:tr>
    </w:tbl>
    <w:p xmlns:wp14="http://schemas.microsoft.com/office/word/2010/wordml" w:rsidP="42364BEB" wp14:paraId="104E3129" wp14:textId="49B1DA5B">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2">
    <w:nsid w:val="7831ec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e357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a0ba7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e0f3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962e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b746b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753cf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aec4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43d5a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78cb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c30dc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0162e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c16e3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58b0d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5c7e4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aecf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94e1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32d09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6fc01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6d4c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3a315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5ed8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b8ee5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da337d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7d4c8b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dee8e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e16e4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b5cd3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b3537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f2ed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50fd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04a9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523EFE"/>
    <w:rsid w:val="24670A83"/>
    <w:rsid w:val="25D72307"/>
    <w:rsid w:val="2D22175C"/>
    <w:rsid w:val="2EBDE7BD"/>
    <w:rsid w:val="3C74E9A1"/>
    <w:rsid w:val="42364BEB"/>
    <w:rsid w:val="5D227708"/>
    <w:rsid w:val="7D523E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3EFE"/>
  <w15:chartTrackingRefBased/>
  <w15:docId w15:val="{DA426355-50B3-4F53-8B47-C23F19BAC4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645fc4f8f564d17" /><Relationship Type="http://schemas.openxmlformats.org/officeDocument/2006/relationships/numbering" Target="numbering.xml" Id="Rc268c5e33ea34a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2024-01-17T09:07:57.6656561Z</dcterms:created>
  <dcterms:modified xsi:type="dcterms:W3CDTF">2024-01-17T09:10:38.9238449Z</dcterms:modified>
  <dc:creator>Marianne Berg-Stølen</dc:creator>
  <lastModifiedBy>Marianne Berg-Stølen</lastModifiedBy>
</coreProperties>
</file>