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E4E3" w14:textId="24794632" w:rsidR="00D527F9" w:rsidRPr="00F375AA" w:rsidRDefault="00E068B0" w:rsidP="00D527F9">
      <w:pPr>
        <w:rPr>
          <w:rStyle w:val="Overskrift1Tegn"/>
          <w:b/>
          <w:lang w:val="nb-NO"/>
        </w:rPr>
      </w:pPr>
      <w:r>
        <w:rPr>
          <w:rStyle w:val="Overskrift1Tegn"/>
          <w:b/>
          <w:lang w:val="nb-NO"/>
        </w:rPr>
        <w:t>Justvik</w:t>
      </w:r>
      <w:r w:rsidR="00663375">
        <w:rPr>
          <w:rStyle w:val="Overskrift1Tegn"/>
          <w:b/>
          <w:lang w:val="nb-NO"/>
        </w:rPr>
        <w:t xml:space="preserve"> - Ålefjær</w:t>
      </w:r>
      <w:r w:rsidR="00D527F9" w:rsidRPr="00F375AA">
        <w:rPr>
          <w:rStyle w:val="Overskrift1Tegn"/>
          <w:b/>
          <w:lang w:val="nb-NO"/>
        </w:rPr>
        <w:t xml:space="preserve"> demografi</w:t>
      </w:r>
      <w:r w:rsidR="00E04E29">
        <w:rPr>
          <w:rStyle w:val="Overskrift1Tegn"/>
          <w:b/>
          <w:lang w:val="nb-NO"/>
        </w:rPr>
        <w:t xml:space="preserve"> </w:t>
      </w:r>
      <w:r w:rsidR="00BD5771">
        <w:rPr>
          <w:rStyle w:val="Overskrift1Tegn"/>
          <w:b/>
          <w:lang w:val="nb-NO"/>
        </w:rPr>
        <w:t>–</w:t>
      </w:r>
      <w:r w:rsidR="00E04E29">
        <w:rPr>
          <w:rStyle w:val="Overskrift1Tegn"/>
          <w:b/>
          <w:lang w:val="nb-NO"/>
        </w:rPr>
        <w:t xml:space="preserve"> </w:t>
      </w:r>
      <w:r w:rsidR="00A7726F">
        <w:rPr>
          <w:rStyle w:val="Overskrift1Tegn"/>
          <w:b/>
          <w:lang w:val="nb-NO"/>
        </w:rPr>
        <w:t xml:space="preserve">Totalt </w:t>
      </w:r>
      <w:r w:rsidR="00663375">
        <w:rPr>
          <w:rStyle w:val="Overskrift1Tegn"/>
          <w:b/>
          <w:lang w:val="nb-NO"/>
        </w:rPr>
        <w:t>4</w:t>
      </w:r>
      <w:r w:rsidR="002E306A">
        <w:rPr>
          <w:rStyle w:val="Overskrift1Tegn"/>
          <w:b/>
          <w:lang w:val="nb-NO"/>
        </w:rPr>
        <w:t>.</w:t>
      </w:r>
      <w:r w:rsidR="00663375">
        <w:rPr>
          <w:rStyle w:val="Overskrift1Tegn"/>
          <w:b/>
          <w:lang w:val="nb-NO"/>
        </w:rPr>
        <w:t>5</w:t>
      </w:r>
      <w:r w:rsidR="001D68D3">
        <w:rPr>
          <w:rStyle w:val="Overskrift1Tegn"/>
          <w:b/>
          <w:lang w:val="nb-NO"/>
        </w:rPr>
        <w:t>1</w:t>
      </w:r>
      <w:r w:rsidR="0058045C">
        <w:rPr>
          <w:rStyle w:val="Overskrift1Tegn"/>
          <w:b/>
          <w:lang w:val="nb-NO"/>
        </w:rPr>
        <w:t>2</w:t>
      </w:r>
      <w:r w:rsidR="002E306A">
        <w:rPr>
          <w:rStyle w:val="Overskrift1Tegn"/>
          <w:b/>
          <w:lang w:val="nb-NO"/>
        </w:rPr>
        <w:t xml:space="preserve"> innbyggere</w:t>
      </w:r>
    </w:p>
    <w:p w14:paraId="6271A51D" w14:textId="506665D7" w:rsidR="00D527F9" w:rsidRDefault="006C1F57" w:rsidP="006C1F57">
      <w:pPr>
        <w:rPr>
          <w:noProof/>
          <w:lang w:val="nb-NO"/>
        </w:rPr>
      </w:pPr>
      <w:r>
        <w:rPr>
          <w:noProof/>
          <w:lang w:val="nb-NO"/>
        </w:rPr>
        <w:t xml:space="preserve"> </w:t>
      </w:r>
      <w:r w:rsidR="005A27A0">
        <w:rPr>
          <w:noProof/>
          <w:lang w:val="nb-NO"/>
        </w:rPr>
        <w:drawing>
          <wp:inline distT="0" distB="0" distL="0" distR="0" wp14:anchorId="7F934F27" wp14:editId="1C890A8C">
            <wp:extent cx="6120765" cy="3066415"/>
            <wp:effectExtent l="0" t="0" r="0" b="635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7D02A" w14:textId="44233D0E" w:rsidR="009C0682" w:rsidRDefault="003F0A2C" w:rsidP="006C1F57">
      <w:pPr>
        <w:rPr>
          <w:noProof/>
          <w:lang w:val="nb-NO"/>
        </w:rPr>
      </w:pPr>
      <w:r>
        <w:rPr>
          <w:noProof/>
          <w:lang w:val="nb-NO"/>
        </w:rPr>
        <w:drawing>
          <wp:inline distT="0" distB="0" distL="0" distR="0" wp14:anchorId="01E2755A" wp14:editId="318C58F4">
            <wp:extent cx="2853055" cy="2499360"/>
            <wp:effectExtent l="0" t="0" r="4445" b="0"/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0986">
        <w:rPr>
          <w:noProof/>
          <w:lang w:val="nb-NO"/>
        </w:rPr>
        <w:drawing>
          <wp:anchor distT="0" distB="0" distL="114300" distR="114300" simplePos="0" relativeHeight="251673600" behindDoc="1" locked="0" layoutInCell="1" allowOverlap="1" wp14:anchorId="5519C714" wp14:editId="60DB2A40">
            <wp:simplePos x="0" y="0"/>
            <wp:positionH relativeFrom="column">
              <wp:posOffset>0</wp:posOffset>
            </wp:positionH>
            <wp:positionV relativeFrom="paragraph">
              <wp:posOffset>2592070</wp:posOffset>
            </wp:positionV>
            <wp:extent cx="2901950" cy="2578735"/>
            <wp:effectExtent l="0" t="0" r="0" b="0"/>
            <wp:wrapTight wrapText="bothSides">
              <wp:wrapPolygon edited="0">
                <wp:start x="0" y="0"/>
                <wp:lineTo x="0" y="21382"/>
                <wp:lineTo x="21411" y="21382"/>
                <wp:lineTo x="21411" y="0"/>
                <wp:lineTo x="0" y="0"/>
              </wp:wrapPolygon>
            </wp:wrapTight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92C">
        <w:rPr>
          <w:noProof/>
          <w:lang w:val="nb-NO"/>
        </w:rPr>
        <w:drawing>
          <wp:inline distT="0" distB="0" distL="0" distR="0" wp14:anchorId="09FA10CA" wp14:editId="072F7EE1">
            <wp:extent cx="2853055" cy="2499360"/>
            <wp:effectExtent l="0" t="0" r="4445" b="0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B20A5" w14:textId="3EB96699" w:rsidR="001D68D3" w:rsidRDefault="001D68D3" w:rsidP="006C1F57">
      <w:pPr>
        <w:rPr>
          <w:rFonts w:ascii="Arial" w:hAnsi="Arial" w:cs="Arial"/>
          <w:noProof/>
          <w:lang w:val="nb-NO"/>
        </w:rPr>
      </w:pPr>
      <w:r>
        <w:rPr>
          <w:rFonts w:ascii="Arial" w:hAnsi="Arial" w:cs="Arial"/>
          <w:noProof/>
          <w:lang w:val="nb-NO"/>
        </w:rPr>
        <w:t>Vi har delt Justvik inn i Eidet</w:t>
      </w:r>
      <w:r w:rsidR="00B4573D">
        <w:rPr>
          <w:rFonts w:ascii="Arial" w:hAnsi="Arial" w:cs="Arial"/>
          <w:noProof/>
          <w:lang w:val="nb-NO"/>
        </w:rPr>
        <w:t>/Justneshalvøya og «Rest-Justvik», som da blir kretsene</w:t>
      </w:r>
      <w:r w:rsidR="00D41BB3">
        <w:rPr>
          <w:rFonts w:ascii="Arial" w:hAnsi="Arial" w:cs="Arial"/>
          <w:noProof/>
          <w:lang w:val="nb-NO"/>
        </w:rPr>
        <w:t xml:space="preserve"> Justvik,</w:t>
      </w:r>
      <w:r w:rsidR="00213521">
        <w:rPr>
          <w:rFonts w:ascii="Arial" w:hAnsi="Arial" w:cs="Arial"/>
          <w:noProof/>
          <w:lang w:val="nb-NO"/>
        </w:rPr>
        <w:t xml:space="preserve"> Just</w:t>
      </w:r>
      <w:r w:rsidR="007646F4">
        <w:rPr>
          <w:rFonts w:ascii="Arial" w:hAnsi="Arial" w:cs="Arial"/>
          <w:noProof/>
          <w:lang w:val="nb-NO"/>
        </w:rPr>
        <w:t>nes-Dalsveien,</w:t>
      </w:r>
      <w:r w:rsidR="00D41BB3">
        <w:rPr>
          <w:rFonts w:ascii="Arial" w:hAnsi="Arial" w:cs="Arial"/>
          <w:noProof/>
          <w:lang w:val="nb-NO"/>
        </w:rPr>
        <w:t xml:space="preserve"> Gro</w:t>
      </w:r>
      <w:r w:rsidR="007646F4">
        <w:rPr>
          <w:rFonts w:ascii="Arial" w:hAnsi="Arial" w:cs="Arial"/>
          <w:noProof/>
          <w:lang w:val="nb-NO"/>
        </w:rPr>
        <w:t>støl og</w:t>
      </w:r>
      <w:r w:rsidR="00D41BB3">
        <w:rPr>
          <w:rFonts w:ascii="Arial" w:hAnsi="Arial" w:cs="Arial"/>
          <w:noProof/>
          <w:lang w:val="nb-NO"/>
        </w:rPr>
        <w:t xml:space="preserve"> Jernesheia.</w:t>
      </w:r>
    </w:p>
    <w:p w14:paraId="40F769EC" w14:textId="6ACA6271" w:rsidR="006B5D31" w:rsidRDefault="006C1F57" w:rsidP="006C1F57">
      <w:pPr>
        <w:rPr>
          <w:rFonts w:ascii="Arial" w:hAnsi="Arial" w:cs="Arial"/>
          <w:noProof/>
          <w:lang w:val="nb-NO"/>
        </w:rPr>
      </w:pPr>
      <w:r w:rsidRPr="006C1F57">
        <w:rPr>
          <w:rFonts w:ascii="Arial" w:hAnsi="Arial" w:cs="Arial"/>
          <w:noProof/>
          <w:lang w:val="nb-NO"/>
        </w:rPr>
        <w:t>Befolknings</w:t>
      </w:r>
      <w:r>
        <w:rPr>
          <w:rFonts w:ascii="Arial" w:hAnsi="Arial" w:cs="Arial"/>
          <w:noProof/>
          <w:lang w:val="nb-NO"/>
        </w:rPr>
        <w:t>-</w:t>
      </w:r>
      <w:r w:rsidRPr="006C1F57">
        <w:rPr>
          <w:rFonts w:ascii="Arial" w:hAnsi="Arial" w:cs="Arial"/>
          <w:i/>
          <w:noProof/>
          <w:lang w:val="nb-NO"/>
        </w:rPr>
        <w:t>sammensetningen</w:t>
      </w:r>
      <w:r w:rsidRPr="006C1F57">
        <w:rPr>
          <w:rFonts w:ascii="Arial" w:hAnsi="Arial" w:cs="Arial"/>
          <w:noProof/>
          <w:lang w:val="nb-NO"/>
        </w:rPr>
        <w:t xml:space="preserve"> ser vi i rød linje i radardiagramme</w:t>
      </w:r>
      <w:r w:rsidR="00F60680">
        <w:rPr>
          <w:rFonts w:ascii="Arial" w:hAnsi="Arial" w:cs="Arial"/>
          <w:noProof/>
          <w:lang w:val="nb-NO"/>
        </w:rPr>
        <w:t>ne</w:t>
      </w:r>
      <w:r w:rsidRPr="006C1F57">
        <w:rPr>
          <w:rFonts w:ascii="Arial" w:hAnsi="Arial" w:cs="Arial"/>
          <w:noProof/>
          <w:lang w:val="nb-NO"/>
        </w:rPr>
        <w:t xml:space="preserve">. Vi deler hver tiårsgruppes andel innen bydelen med den samme gruppens andel i hele nye Kristiansand. Dett gir en </w:t>
      </w:r>
      <w:r w:rsidRPr="007A7395">
        <w:rPr>
          <w:rFonts w:ascii="Arial" w:hAnsi="Arial" w:cs="Arial"/>
          <w:i/>
          <w:noProof/>
          <w:lang w:val="nb-NO"/>
        </w:rPr>
        <w:t>indeks</w:t>
      </w:r>
      <w:r w:rsidRPr="006C1F57">
        <w:rPr>
          <w:rFonts w:ascii="Arial" w:hAnsi="Arial" w:cs="Arial"/>
          <w:noProof/>
          <w:lang w:val="nb-NO"/>
        </w:rPr>
        <w:t xml:space="preserve"> som viser befolknings-</w:t>
      </w:r>
      <w:r w:rsidRPr="006C1F57">
        <w:rPr>
          <w:rFonts w:ascii="Arial" w:hAnsi="Arial" w:cs="Arial"/>
          <w:i/>
          <w:noProof/>
          <w:lang w:val="nb-NO"/>
        </w:rPr>
        <w:t>profilen</w:t>
      </w:r>
      <w:r w:rsidRPr="006C1F57">
        <w:rPr>
          <w:rFonts w:ascii="Arial" w:hAnsi="Arial" w:cs="Arial"/>
          <w:noProof/>
          <w:lang w:val="nb-NO"/>
        </w:rPr>
        <w:t xml:space="preserve">. </w:t>
      </w:r>
      <w:r>
        <w:rPr>
          <w:rFonts w:ascii="Arial" w:hAnsi="Arial" w:cs="Arial"/>
          <w:noProof/>
          <w:lang w:val="nb-NO"/>
        </w:rPr>
        <w:t xml:space="preserve">Vi ser at </w:t>
      </w:r>
      <w:r w:rsidR="00BA7D3A">
        <w:rPr>
          <w:rFonts w:ascii="Arial" w:hAnsi="Arial" w:cs="Arial"/>
          <w:noProof/>
          <w:lang w:val="nb-NO"/>
        </w:rPr>
        <w:t xml:space="preserve">i </w:t>
      </w:r>
      <w:r w:rsidR="00030F1B">
        <w:rPr>
          <w:rFonts w:ascii="Arial" w:hAnsi="Arial" w:cs="Arial"/>
          <w:noProof/>
          <w:lang w:val="nb-NO"/>
        </w:rPr>
        <w:t>de</w:t>
      </w:r>
      <w:r w:rsidR="0027006B">
        <w:rPr>
          <w:rFonts w:ascii="Arial" w:hAnsi="Arial" w:cs="Arial"/>
          <w:noProof/>
          <w:lang w:val="nb-NO"/>
        </w:rPr>
        <w:t>t yngste boområdet</w:t>
      </w:r>
      <w:r w:rsidR="0067146D">
        <w:rPr>
          <w:rFonts w:ascii="Arial" w:hAnsi="Arial" w:cs="Arial"/>
          <w:noProof/>
          <w:lang w:val="nb-NO"/>
        </w:rPr>
        <w:t xml:space="preserve"> -</w:t>
      </w:r>
      <w:r w:rsidR="00030F1B">
        <w:rPr>
          <w:rFonts w:ascii="Arial" w:hAnsi="Arial" w:cs="Arial"/>
          <w:noProof/>
          <w:lang w:val="nb-NO"/>
        </w:rPr>
        <w:t xml:space="preserve"> Eidet/Justneshalvøya</w:t>
      </w:r>
      <w:r w:rsidR="0067146D">
        <w:rPr>
          <w:rFonts w:ascii="Arial" w:hAnsi="Arial" w:cs="Arial"/>
          <w:noProof/>
          <w:lang w:val="nb-NO"/>
        </w:rPr>
        <w:t xml:space="preserve"> -</w:t>
      </w:r>
      <w:r w:rsidR="000C0C82">
        <w:rPr>
          <w:rFonts w:ascii="Arial" w:hAnsi="Arial" w:cs="Arial"/>
          <w:noProof/>
          <w:lang w:val="nb-NO"/>
        </w:rPr>
        <w:t xml:space="preserve"> er </w:t>
      </w:r>
      <w:r>
        <w:rPr>
          <w:rFonts w:ascii="Arial" w:hAnsi="Arial" w:cs="Arial"/>
          <w:noProof/>
          <w:lang w:val="nb-NO"/>
        </w:rPr>
        <w:t xml:space="preserve">innslaget av </w:t>
      </w:r>
      <w:r w:rsidR="006D3631">
        <w:rPr>
          <w:rFonts w:ascii="Arial" w:hAnsi="Arial" w:cs="Arial"/>
          <w:noProof/>
          <w:lang w:val="nb-NO"/>
        </w:rPr>
        <w:t xml:space="preserve">barn </w:t>
      </w:r>
      <w:r w:rsidR="00194BD6">
        <w:rPr>
          <w:rFonts w:ascii="Arial" w:hAnsi="Arial" w:cs="Arial"/>
          <w:noProof/>
          <w:lang w:val="nb-NO"/>
        </w:rPr>
        <w:t xml:space="preserve">0-9 </w:t>
      </w:r>
      <w:r w:rsidR="004E2316">
        <w:rPr>
          <w:rFonts w:ascii="Arial" w:hAnsi="Arial" w:cs="Arial"/>
          <w:noProof/>
          <w:lang w:val="nb-NO"/>
        </w:rPr>
        <w:t xml:space="preserve">over dobbelt så stort som </w:t>
      </w:r>
      <w:r w:rsidR="00EF4ABB">
        <w:rPr>
          <w:rFonts w:ascii="Arial" w:hAnsi="Arial" w:cs="Arial"/>
          <w:noProof/>
          <w:lang w:val="nb-NO"/>
        </w:rPr>
        <w:t>s</w:t>
      </w:r>
      <w:r w:rsidR="004E2316">
        <w:rPr>
          <w:rFonts w:ascii="Arial" w:hAnsi="Arial" w:cs="Arial"/>
          <w:noProof/>
          <w:lang w:val="nb-NO"/>
        </w:rPr>
        <w:t xml:space="preserve">nittet for KRS. </w:t>
      </w:r>
      <w:r w:rsidR="00671B98">
        <w:rPr>
          <w:rFonts w:ascii="Arial" w:hAnsi="Arial" w:cs="Arial"/>
          <w:noProof/>
          <w:lang w:val="nb-NO"/>
        </w:rPr>
        <w:t xml:space="preserve">Svært få </w:t>
      </w:r>
      <w:r w:rsidR="003F4190">
        <w:rPr>
          <w:rFonts w:ascii="Arial" w:hAnsi="Arial" w:cs="Arial"/>
          <w:noProof/>
          <w:lang w:val="nb-NO"/>
        </w:rPr>
        <w:t xml:space="preserve">er over 50 år. </w:t>
      </w:r>
      <w:r w:rsidR="00905F7A">
        <w:rPr>
          <w:rFonts w:ascii="Arial" w:hAnsi="Arial" w:cs="Arial"/>
          <w:noProof/>
          <w:lang w:val="nb-NO"/>
        </w:rPr>
        <w:t xml:space="preserve">«Rest-Justvik» </w:t>
      </w:r>
      <w:r w:rsidR="001A0E8F">
        <w:rPr>
          <w:rFonts w:ascii="Arial" w:hAnsi="Arial" w:cs="Arial"/>
          <w:noProof/>
          <w:lang w:val="nb-NO"/>
        </w:rPr>
        <w:t xml:space="preserve">har også en tydelig barneprofil, og </w:t>
      </w:r>
      <w:r w:rsidR="009C4E86">
        <w:rPr>
          <w:rFonts w:ascii="Arial" w:hAnsi="Arial" w:cs="Arial"/>
          <w:noProof/>
          <w:lang w:val="nb-NO"/>
        </w:rPr>
        <w:t xml:space="preserve">lite innslag av 80år+. </w:t>
      </w:r>
    </w:p>
    <w:p w14:paraId="3CD842C5" w14:textId="3D889C16" w:rsidR="006C1F57" w:rsidRDefault="006B5D31" w:rsidP="006C1F57">
      <w:pPr>
        <w:rPr>
          <w:rFonts w:ascii="Arial" w:hAnsi="Arial" w:cs="Arial"/>
          <w:noProof/>
          <w:lang w:val="nb-NO"/>
        </w:rPr>
      </w:pPr>
      <w:r>
        <w:rPr>
          <w:rFonts w:ascii="Arial" w:hAnsi="Arial" w:cs="Arial"/>
          <w:noProof/>
          <w:lang w:val="nb-NO"/>
        </w:rPr>
        <w:t>Ålefjær</w:t>
      </w:r>
      <w:r w:rsidR="00A74907">
        <w:rPr>
          <w:rFonts w:ascii="Arial" w:hAnsi="Arial" w:cs="Arial"/>
          <w:noProof/>
          <w:lang w:val="nb-NO"/>
        </w:rPr>
        <w:t xml:space="preserve"> </w:t>
      </w:r>
      <w:r w:rsidR="003561AA">
        <w:rPr>
          <w:rFonts w:ascii="Arial" w:hAnsi="Arial" w:cs="Arial"/>
          <w:noProof/>
          <w:lang w:val="nb-NO"/>
        </w:rPr>
        <w:t xml:space="preserve">har en liten befolkningen på 389 personer. </w:t>
      </w:r>
      <w:r w:rsidR="00A74907">
        <w:rPr>
          <w:rFonts w:ascii="Arial" w:hAnsi="Arial" w:cs="Arial"/>
          <w:noProof/>
          <w:lang w:val="nb-NO"/>
        </w:rPr>
        <w:t>Innslaget av 80 år+ er be</w:t>
      </w:r>
      <w:r w:rsidR="006901D5">
        <w:rPr>
          <w:rFonts w:ascii="Arial" w:hAnsi="Arial" w:cs="Arial"/>
          <w:noProof/>
          <w:lang w:val="nb-NO"/>
        </w:rPr>
        <w:t>s</w:t>
      </w:r>
      <w:r w:rsidR="00A74907">
        <w:rPr>
          <w:rFonts w:ascii="Arial" w:hAnsi="Arial" w:cs="Arial"/>
          <w:noProof/>
          <w:lang w:val="nb-NO"/>
        </w:rPr>
        <w:t>kjedent, noe som må sees i lys av ensidig eneboligbebyggelse</w:t>
      </w:r>
      <w:r w:rsidR="00692C00">
        <w:rPr>
          <w:rFonts w:ascii="Arial" w:hAnsi="Arial" w:cs="Arial"/>
          <w:noProof/>
          <w:lang w:val="nb-NO"/>
        </w:rPr>
        <w:t>, som vi straks skal se</w:t>
      </w:r>
    </w:p>
    <w:p w14:paraId="5ED41796" w14:textId="2E6875B4" w:rsidR="009A7601" w:rsidRDefault="009A7601" w:rsidP="006C1F57">
      <w:pPr>
        <w:rPr>
          <w:rFonts w:ascii="Arial" w:hAnsi="Arial" w:cs="Arial"/>
          <w:noProof/>
          <w:lang w:val="nb-NO"/>
        </w:rPr>
      </w:pPr>
    </w:p>
    <w:p w14:paraId="600379CB" w14:textId="36353E65" w:rsidR="00BD2F1D" w:rsidRDefault="00BD2F1D" w:rsidP="006C1F57">
      <w:pPr>
        <w:rPr>
          <w:rFonts w:ascii="Arial" w:hAnsi="Arial" w:cs="Arial"/>
          <w:noProof/>
          <w:lang w:val="nb-NO"/>
        </w:rPr>
      </w:pPr>
    </w:p>
    <w:p w14:paraId="4F86555C" w14:textId="54D31547" w:rsidR="006C1F57" w:rsidRPr="00F375AA" w:rsidRDefault="007A7395" w:rsidP="007A7395">
      <w:pPr>
        <w:pStyle w:val="Overskrift1"/>
        <w:rPr>
          <w:rFonts w:ascii="Arial" w:hAnsi="Arial" w:cs="Arial"/>
          <w:b/>
          <w:noProof/>
          <w:lang w:val="nb-NO"/>
        </w:rPr>
      </w:pPr>
      <w:r w:rsidRPr="00F375AA">
        <w:rPr>
          <w:b/>
          <w:lang w:val="nb-NO"/>
        </w:rPr>
        <w:lastRenderedPageBreak/>
        <w:t>Bolig</w:t>
      </w:r>
      <w:r w:rsidR="00A518D2" w:rsidRPr="00F375AA">
        <w:rPr>
          <w:b/>
          <w:lang w:val="nb-NO"/>
        </w:rPr>
        <w:t>er</w:t>
      </w:r>
      <w:r w:rsidR="00F375AA" w:rsidRPr="00F375AA">
        <w:rPr>
          <w:b/>
          <w:lang w:val="nb-NO"/>
        </w:rPr>
        <w:t>, antall</w:t>
      </w:r>
      <w:r w:rsidR="00A518D2" w:rsidRPr="00F375AA">
        <w:rPr>
          <w:b/>
          <w:lang w:val="nb-NO"/>
        </w:rPr>
        <w:t xml:space="preserve"> og </w:t>
      </w:r>
      <w:r w:rsidRPr="00F375AA">
        <w:rPr>
          <w:b/>
          <w:lang w:val="nb-NO"/>
        </w:rPr>
        <w:t>sammensetning</w:t>
      </w:r>
      <w:r w:rsidR="00EB12A2">
        <w:rPr>
          <w:rStyle w:val="Fotnotereferanse"/>
          <w:b/>
          <w:lang w:val="nb-NO"/>
        </w:rPr>
        <w:footnoteReference w:id="1"/>
      </w:r>
    </w:p>
    <w:p w14:paraId="6F85836F" w14:textId="39F4A4CB" w:rsidR="007D2F6A" w:rsidRDefault="00ED5A7B">
      <w:pPr>
        <w:rPr>
          <w:lang w:val="nb-NO"/>
        </w:rPr>
      </w:pPr>
      <w:r w:rsidRPr="00ED5A7B">
        <w:rPr>
          <w:noProof/>
        </w:rPr>
        <w:drawing>
          <wp:inline distT="0" distB="0" distL="0" distR="0" wp14:anchorId="4CB1F725" wp14:editId="62A5348A">
            <wp:extent cx="3810000" cy="2019300"/>
            <wp:effectExtent l="0" t="0" r="0" b="0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5F2" w:rsidRPr="000105F2">
        <w:t xml:space="preserve"> </w:t>
      </w:r>
      <w:r w:rsidR="00825F0D">
        <w:rPr>
          <w:noProof/>
        </w:rPr>
        <w:drawing>
          <wp:inline distT="0" distB="0" distL="0" distR="0" wp14:anchorId="34CD807A" wp14:editId="198E6435">
            <wp:extent cx="2703979" cy="2419350"/>
            <wp:effectExtent l="0" t="0" r="1270" b="0"/>
            <wp:docPr id="3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52" cy="242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0316F" w14:textId="7FC8F839" w:rsidR="007D2F6A" w:rsidRDefault="00935639">
      <w:pPr>
        <w:rPr>
          <w:lang w:val="nb-NO"/>
        </w:rPr>
      </w:pPr>
      <w:r>
        <w:rPr>
          <w:lang w:val="nb-NO"/>
        </w:rPr>
        <w:t xml:space="preserve">For </w:t>
      </w:r>
      <w:r w:rsidR="002B3444">
        <w:rPr>
          <w:lang w:val="nb-NO"/>
        </w:rPr>
        <w:t>Justvik/Ålefjær</w:t>
      </w:r>
      <w:r>
        <w:rPr>
          <w:lang w:val="nb-NO"/>
        </w:rPr>
        <w:t xml:space="preserve"> sett under</w:t>
      </w:r>
      <w:r w:rsidR="001C2FAF">
        <w:rPr>
          <w:lang w:val="nb-NO"/>
        </w:rPr>
        <w:t xml:space="preserve"> </w:t>
      </w:r>
      <w:r w:rsidR="002E462C">
        <w:rPr>
          <w:lang w:val="nb-NO"/>
        </w:rPr>
        <w:t>ett</w:t>
      </w:r>
      <w:r>
        <w:rPr>
          <w:lang w:val="nb-NO"/>
        </w:rPr>
        <w:t xml:space="preserve"> </w:t>
      </w:r>
      <w:r w:rsidR="00ED74AC">
        <w:rPr>
          <w:lang w:val="nb-NO"/>
        </w:rPr>
        <w:t>kjennetegnes</w:t>
      </w:r>
      <w:r w:rsidR="00A22696">
        <w:rPr>
          <w:lang w:val="nb-NO"/>
        </w:rPr>
        <w:t xml:space="preserve"> boligprofilen</w:t>
      </w:r>
      <w:r w:rsidR="001C2FAF">
        <w:rPr>
          <w:lang w:val="nb-NO"/>
        </w:rPr>
        <w:t xml:space="preserve"> a</w:t>
      </w:r>
      <w:r w:rsidR="00CE46A0">
        <w:rPr>
          <w:lang w:val="nb-NO"/>
        </w:rPr>
        <w:t>v</w:t>
      </w:r>
      <w:r w:rsidR="006213F7">
        <w:rPr>
          <w:lang w:val="nb-NO"/>
        </w:rPr>
        <w:t xml:space="preserve"> et</w:t>
      </w:r>
      <w:r w:rsidR="00ED74AC">
        <w:rPr>
          <w:lang w:val="nb-NO"/>
        </w:rPr>
        <w:t xml:space="preserve"> </w:t>
      </w:r>
      <w:r w:rsidR="0068322F">
        <w:rPr>
          <w:lang w:val="nb-NO"/>
        </w:rPr>
        <w:t>særlig stort innslag av rekkehus</w:t>
      </w:r>
      <w:r w:rsidR="00254467">
        <w:rPr>
          <w:lang w:val="nb-NO"/>
        </w:rPr>
        <w:t xml:space="preserve">. </w:t>
      </w:r>
      <w:r w:rsidR="00E61DAB">
        <w:rPr>
          <w:lang w:val="nb-NO"/>
        </w:rPr>
        <w:t xml:space="preserve">Innslaget av </w:t>
      </w:r>
      <w:r w:rsidR="00254467">
        <w:rPr>
          <w:lang w:val="nb-NO"/>
        </w:rPr>
        <w:t>Eneboliger er noe over</w:t>
      </w:r>
      <w:r w:rsidR="00E61DAB">
        <w:rPr>
          <w:lang w:val="nb-NO"/>
        </w:rPr>
        <w:t xml:space="preserve"> </w:t>
      </w:r>
      <w:r w:rsidR="00254467">
        <w:rPr>
          <w:lang w:val="nb-NO"/>
        </w:rPr>
        <w:t>snittet, og horison</w:t>
      </w:r>
      <w:r w:rsidR="005A4695">
        <w:rPr>
          <w:lang w:val="nb-NO"/>
        </w:rPr>
        <w:t>t</w:t>
      </w:r>
      <w:r w:rsidR="00254467">
        <w:rPr>
          <w:lang w:val="nb-NO"/>
        </w:rPr>
        <w:t>tal</w:t>
      </w:r>
      <w:r w:rsidR="00152EE3">
        <w:rPr>
          <w:lang w:val="nb-NO"/>
        </w:rPr>
        <w:t>t</w:t>
      </w:r>
      <w:r w:rsidR="00254467">
        <w:rPr>
          <w:lang w:val="nb-NO"/>
        </w:rPr>
        <w:t xml:space="preserve">delt noe under snittet for KRS. </w:t>
      </w:r>
      <w:r w:rsidR="00FE4167">
        <w:rPr>
          <w:lang w:val="nb-NO"/>
        </w:rPr>
        <w:t>Det er kommet til en del l</w:t>
      </w:r>
      <w:r w:rsidR="000618CE">
        <w:rPr>
          <w:lang w:val="nb-NO"/>
        </w:rPr>
        <w:t>e</w:t>
      </w:r>
      <w:r w:rsidR="00FE4167">
        <w:rPr>
          <w:lang w:val="nb-NO"/>
        </w:rPr>
        <w:t xml:space="preserve">iligheter, noe </w:t>
      </w:r>
      <w:r w:rsidR="00AF432F">
        <w:rPr>
          <w:lang w:val="nb-NO"/>
        </w:rPr>
        <w:t xml:space="preserve">særlig </w:t>
      </w:r>
      <w:r w:rsidR="00FE4167">
        <w:rPr>
          <w:lang w:val="nb-NO"/>
        </w:rPr>
        <w:t xml:space="preserve">Justneshalvøya </w:t>
      </w:r>
      <w:r w:rsidR="00AF432F">
        <w:rPr>
          <w:lang w:val="nb-NO"/>
        </w:rPr>
        <w:t xml:space="preserve">bidrar til. </w:t>
      </w:r>
      <w:r w:rsidR="00DD2468">
        <w:rPr>
          <w:lang w:val="nb-NO"/>
        </w:rPr>
        <w:t>Bolig</w:t>
      </w:r>
      <w:r w:rsidR="00DD2468" w:rsidRPr="005A729A">
        <w:rPr>
          <w:i/>
          <w:iCs/>
          <w:lang w:val="nb-NO"/>
        </w:rPr>
        <w:t>profilen</w:t>
      </w:r>
      <w:r w:rsidR="00DD2468">
        <w:rPr>
          <w:lang w:val="nb-NO"/>
        </w:rPr>
        <w:t xml:space="preserve"> for de enkelte områder</w:t>
      </w:r>
      <w:r w:rsidR="00F3303C">
        <w:rPr>
          <w:lang w:val="nb-NO"/>
        </w:rPr>
        <w:t xml:space="preserve"> er slik</w:t>
      </w:r>
      <w:r w:rsidR="00DD2468">
        <w:rPr>
          <w:lang w:val="nb-NO"/>
        </w:rPr>
        <w:t>, i d</w:t>
      </w:r>
      <w:r w:rsidR="005A729A">
        <w:rPr>
          <w:lang w:val="nb-NO"/>
        </w:rPr>
        <w:t>i</w:t>
      </w:r>
      <w:r w:rsidR="00DD2468">
        <w:rPr>
          <w:lang w:val="nb-NO"/>
        </w:rPr>
        <w:t>agrams form:</w:t>
      </w:r>
    </w:p>
    <w:p w14:paraId="78CA8CBE" w14:textId="4F27BCE0" w:rsidR="00C51CAB" w:rsidRDefault="00D017CD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424EA441" wp14:editId="1156BFFA">
            <wp:extent cx="2238375" cy="1931821"/>
            <wp:effectExtent l="0" t="0" r="0" b="0"/>
            <wp:docPr id="35" name="Bil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86" cy="195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C91">
        <w:rPr>
          <w:noProof/>
          <w:lang w:val="nb-NO"/>
        </w:rPr>
        <w:drawing>
          <wp:inline distT="0" distB="0" distL="0" distR="0" wp14:anchorId="4DDD67C2" wp14:editId="56224B82">
            <wp:extent cx="2114550" cy="1931505"/>
            <wp:effectExtent l="0" t="0" r="0" b="0"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81" cy="1973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6EF9">
        <w:rPr>
          <w:noProof/>
          <w:lang w:val="nb-NO"/>
        </w:rPr>
        <w:drawing>
          <wp:inline distT="0" distB="0" distL="0" distR="0" wp14:anchorId="29A9E458" wp14:editId="2180F2A3">
            <wp:extent cx="2057400" cy="1933794"/>
            <wp:effectExtent l="0" t="0" r="0" b="9525"/>
            <wp:docPr id="37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51" cy="195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6221D" w14:textId="5CDB7007" w:rsidR="00921662" w:rsidRDefault="00AE6B73">
      <w:pPr>
        <w:rPr>
          <w:lang w:val="nb-NO"/>
        </w:rPr>
      </w:pPr>
      <w:r>
        <w:rPr>
          <w:lang w:val="nb-NO"/>
        </w:rPr>
        <w:t>Vi</w:t>
      </w:r>
      <w:r w:rsidR="007845C1">
        <w:rPr>
          <w:lang w:val="nb-NO"/>
        </w:rPr>
        <w:t xml:space="preserve"> ser ganske store kontraster innen Justvik/Ålefjær</w:t>
      </w:r>
      <w:r w:rsidR="000F7D8D">
        <w:rPr>
          <w:lang w:val="nb-NO"/>
        </w:rPr>
        <w:t>. Eidet/Justneshalvøya har en ganske variert boligsammensetning</w:t>
      </w:r>
      <w:r w:rsidR="00046296">
        <w:rPr>
          <w:lang w:val="nb-NO"/>
        </w:rPr>
        <w:t xml:space="preserve">. «Rest-Justvik» </w:t>
      </w:r>
      <w:r w:rsidR="005B1C22">
        <w:rPr>
          <w:lang w:val="nb-NO"/>
        </w:rPr>
        <w:t xml:space="preserve">har over 3 ganger så stort innslag av rekkehus som snittet for KRS. </w:t>
      </w:r>
      <w:r w:rsidR="00C963BF">
        <w:rPr>
          <w:lang w:val="nb-NO"/>
        </w:rPr>
        <w:t xml:space="preserve">Jærnesheia bidrar sterkt til dette. </w:t>
      </w:r>
      <w:r w:rsidR="005B1C22">
        <w:rPr>
          <w:lang w:val="nb-NO"/>
        </w:rPr>
        <w:t>Ålefjær</w:t>
      </w:r>
      <w:r w:rsidR="001D74A5">
        <w:rPr>
          <w:lang w:val="nb-NO"/>
        </w:rPr>
        <w:t xml:space="preserve"> er nærmest totalt dominert av eneboliger.</w:t>
      </w:r>
    </w:p>
    <w:p w14:paraId="1BE1E02E" w14:textId="4361FB8F" w:rsidR="00F17539" w:rsidRDefault="00F17539">
      <w:pPr>
        <w:rPr>
          <w:lang w:val="nb-NO"/>
        </w:rPr>
      </w:pPr>
    </w:p>
    <w:p w14:paraId="20FC754B" w14:textId="77777777" w:rsidR="00F17539" w:rsidRDefault="00F17539">
      <w:pPr>
        <w:rPr>
          <w:lang w:val="nb-NO"/>
        </w:rPr>
      </w:pPr>
    </w:p>
    <w:p w14:paraId="66D07527" w14:textId="2CC9E0C5" w:rsidR="007D2F6A" w:rsidRDefault="007D2F6A" w:rsidP="009238FD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lastRenderedPageBreak/>
        <w:t>Fremskrivninger</w:t>
      </w:r>
      <w:r w:rsidR="00A254C5" w:rsidRPr="00921662">
        <w:rPr>
          <w:b/>
          <w:lang w:val="nb-NO"/>
        </w:rPr>
        <w:t xml:space="preserve"> av eldrebefolkningen</w:t>
      </w:r>
      <w:r w:rsidR="003A0B0F">
        <w:rPr>
          <w:b/>
          <w:lang w:val="nb-NO"/>
        </w:rPr>
        <w:t xml:space="preserve"> </w:t>
      </w:r>
      <w:r w:rsidR="004D50F9">
        <w:rPr>
          <w:b/>
          <w:lang w:val="nb-NO"/>
        </w:rPr>
        <w:t>–</w:t>
      </w:r>
      <w:r w:rsidR="003A0B0F">
        <w:rPr>
          <w:b/>
          <w:lang w:val="nb-NO"/>
        </w:rPr>
        <w:t xml:space="preserve"> boligbehov</w:t>
      </w:r>
      <w:r w:rsidR="004D50F9">
        <w:rPr>
          <w:b/>
          <w:lang w:val="nb-NO"/>
        </w:rPr>
        <w:t xml:space="preserve"> - senterbehov</w:t>
      </w:r>
    </w:p>
    <w:p w14:paraId="758EEE4A" w14:textId="10EBE489" w:rsidR="00C60645" w:rsidRDefault="00105636" w:rsidP="00C60645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76672" behindDoc="1" locked="0" layoutInCell="1" allowOverlap="1" wp14:anchorId="44E6CA70" wp14:editId="5E315FA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739951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57" y="21404"/>
                <wp:lineTo x="21457" y="0"/>
                <wp:lineTo x="0" y="0"/>
              </wp:wrapPolygon>
            </wp:wrapTight>
            <wp:docPr id="42" name="Bild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51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AF1">
        <w:rPr>
          <w:lang w:val="nb-NO"/>
        </w:rPr>
        <w:t>Innen 2040</w:t>
      </w:r>
      <w:r w:rsidR="00870797">
        <w:rPr>
          <w:lang w:val="nb-NO"/>
        </w:rPr>
        <w:t xml:space="preserve"> vil det iflg. </w:t>
      </w:r>
      <w:r w:rsidR="00A4272C">
        <w:rPr>
          <w:lang w:val="nb-NO"/>
        </w:rPr>
        <w:t>d</w:t>
      </w:r>
      <w:r w:rsidR="00870797">
        <w:rPr>
          <w:lang w:val="nb-NO"/>
        </w:rPr>
        <w:t xml:space="preserve">enne </w:t>
      </w:r>
      <w:r w:rsidR="00870797" w:rsidRPr="007C6758">
        <w:rPr>
          <w:i/>
          <w:lang w:val="nb-NO"/>
        </w:rPr>
        <w:t>fremskrivningen</w:t>
      </w:r>
      <w:r w:rsidR="00870797">
        <w:rPr>
          <w:lang w:val="nb-NO"/>
        </w:rPr>
        <w:t xml:space="preserve"> – dvs. utviklingen i befolkningen lagt til grunn</w:t>
      </w:r>
      <w:r w:rsidR="00FC00A2">
        <w:rPr>
          <w:lang w:val="nb-NO"/>
        </w:rPr>
        <w:t xml:space="preserve"> SSB’s dødssannsynligheter og at ingen flytter – bli</w:t>
      </w:r>
      <w:r w:rsidR="007C3231">
        <w:rPr>
          <w:lang w:val="nb-NO"/>
        </w:rPr>
        <w:t xml:space="preserve"> </w:t>
      </w:r>
      <w:r w:rsidR="00FB41FE">
        <w:rPr>
          <w:lang w:val="nb-NO"/>
        </w:rPr>
        <w:t>310</w:t>
      </w:r>
      <w:r w:rsidR="00A54E1E">
        <w:rPr>
          <w:lang w:val="nb-NO"/>
        </w:rPr>
        <w:t xml:space="preserve"> (</w:t>
      </w:r>
      <w:r w:rsidR="00197F3C">
        <w:rPr>
          <w:lang w:val="nb-NO"/>
        </w:rPr>
        <w:t>149</w:t>
      </w:r>
      <w:r w:rsidR="00BE1235">
        <w:rPr>
          <w:lang w:val="nb-NO"/>
        </w:rPr>
        <w:t>%</w:t>
      </w:r>
      <w:r w:rsidR="00A54E1E">
        <w:rPr>
          <w:lang w:val="nb-NO"/>
        </w:rPr>
        <w:t>)</w:t>
      </w:r>
      <w:r w:rsidR="001B6A5D">
        <w:rPr>
          <w:lang w:val="nb-NO"/>
        </w:rPr>
        <w:t xml:space="preserve"> </w:t>
      </w:r>
      <w:r w:rsidR="007C3231">
        <w:rPr>
          <w:lang w:val="nb-NO"/>
        </w:rPr>
        <w:t>flere i gruppen 67-79år</w:t>
      </w:r>
      <w:r w:rsidR="004D6E25">
        <w:rPr>
          <w:lang w:val="nb-NO"/>
        </w:rPr>
        <w:t xml:space="preserve"> og </w:t>
      </w:r>
      <w:r w:rsidR="00A54E1E">
        <w:rPr>
          <w:lang w:val="nb-NO"/>
        </w:rPr>
        <w:t>223 (</w:t>
      </w:r>
      <w:r w:rsidR="00197F3C">
        <w:rPr>
          <w:lang w:val="nb-NO"/>
        </w:rPr>
        <w:t>620</w:t>
      </w:r>
      <w:r w:rsidR="001B6A5D">
        <w:rPr>
          <w:lang w:val="nb-NO"/>
        </w:rPr>
        <w:t>%</w:t>
      </w:r>
      <w:r w:rsidR="00A54E1E">
        <w:rPr>
          <w:lang w:val="nb-NO"/>
        </w:rPr>
        <w:t>)</w:t>
      </w:r>
      <w:r w:rsidR="004D6E25">
        <w:rPr>
          <w:lang w:val="nb-NO"/>
        </w:rPr>
        <w:t xml:space="preserve"> flere i gruppen 80år+</w:t>
      </w:r>
      <w:r w:rsidR="001B6A5D">
        <w:rPr>
          <w:lang w:val="nb-NO"/>
        </w:rPr>
        <w:t xml:space="preserve"> med 2019 som basisår.</w:t>
      </w:r>
      <w:r w:rsidR="004D6E25">
        <w:rPr>
          <w:lang w:val="nb-NO"/>
        </w:rPr>
        <w:t>.</w:t>
      </w:r>
      <w:r w:rsidR="00AE70CB">
        <w:rPr>
          <w:lang w:val="nb-NO"/>
        </w:rPr>
        <w:t xml:space="preserve"> </w:t>
      </w:r>
      <w:r w:rsidR="00AE70CB" w:rsidRPr="00B938D7">
        <w:rPr>
          <w:i/>
          <w:iCs/>
          <w:lang w:val="nb-NO"/>
        </w:rPr>
        <w:t>Fremskrivningen</w:t>
      </w:r>
      <w:r w:rsidR="00AE70CB">
        <w:rPr>
          <w:lang w:val="nb-NO"/>
        </w:rPr>
        <w:t xml:space="preserve"> viser eldre-</w:t>
      </w:r>
      <w:r w:rsidR="00AE70CB" w:rsidRPr="00B938D7">
        <w:rPr>
          <w:i/>
          <w:iCs/>
          <w:u w:val="single"/>
          <w:lang w:val="nb-NO"/>
        </w:rPr>
        <w:t>potensialet</w:t>
      </w:r>
      <w:r w:rsidR="007B0344">
        <w:rPr>
          <w:lang w:val="nb-NO"/>
        </w:rPr>
        <w:t xml:space="preserve">, dvs. hvor mange i eldregruppene det </w:t>
      </w:r>
      <w:r w:rsidR="00707F24">
        <w:rPr>
          <w:lang w:val="nb-NO"/>
        </w:rPr>
        <w:t>kan bli dersom ingen flytter.</w:t>
      </w:r>
    </w:p>
    <w:p w14:paraId="44AB0F8C" w14:textId="52300A5B" w:rsidR="00BB28C4" w:rsidRDefault="00F2411F" w:rsidP="00C60645">
      <w:pPr>
        <w:rPr>
          <w:lang w:val="nb-NO"/>
        </w:rPr>
      </w:pPr>
      <w:r>
        <w:rPr>
          <w:lang w:val="nb-NO"/>
        </w:rPr>
        <w:t xml:space="preserve">Hvor godt rustet er Justvik/Ålefjær til å tilby sine </w:t>
      </w:r>
      <w:r w:rsidR="004D6957">
        <w:rPr>
          <w:lang w:val="nb-NO"/>
        </w:rPr>
        <w:t xml:space="preserve">eldre </w:t>
      </w:r>
      <w:r>
        <w:rPr>
          <w:lang w:val="nb-NO"/>
        </w:rPr>
        <w:t>flytt</w:t>
      </w:r>
      <w:r w:rsidR="004D6957">
        <w:rPr>
          <w:lang w:val="nb-NO"/>
        </w:rPr>
        <w:t>ere en alternativ bolig innen bydelen.</w:t>
      </w:r>
      <w:r w:rsidR="00A02E09">
        <w:rPr>
          <w:lang w:val="nb-NO"/>
        </w:rPr>
        <w:t xml:space="preserve"> Vi</w:t>
      </w:r>
      <w:r w:rsidR="004C0779">
        <w:rPr>
          <w:lang w:val="nb-NO"/>
        </w:rPr>
        <w:t xml:space="preserve"> </w:t>
      </w:r>
      <w:r w:rsidR="00A02E09">
        <w:rPr>
          <w:lang w:val="nb-NO"/>
        </w:rPr>
        <w:t>ser på flyttestatistikken for Justvik 1993-2013:</w:t>
      </w:r>
    </w:p>
    <w:p w14:paraId="0E0D3464" w14:textId="03DEB428" w:rsidR="00101A64" w:rsidRDefault="00101A64" w:rsidP="00C60645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77696" behindDoc="1" locked="0" layoutInCell="1" allowOverlap="1" wp14:anchorId="23D5A33B" wp14:editId="4E9663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86250" cy="2454901"/>
            <wp:effectExtent l="0" t="0" r="0" b="3175"/>
            <wp:wrapTight wrapText="bothSides">
              <wp:wrapPolygon edited="0">
                <wp:start x="0" y="0"/>
                <wp:lineTo x="0" y="21460"/>
                <wp:lineTo x="21504" y="21460"/>
                <wp:lineTo x="21504" y="0"/>
                <wp:lineTo x="0" y="0"/>
              </wp:wrapPolygon>
            </wp:wrapTight>
            <wp:docPr id="46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54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7CA6">
        <w:rPr>
          <w:lang w:val="nb-NO"/>
        </w:rPr>
        <w:t xml:space="preserve">Vi ser litt av den samme profilen som for Hellemyr. </w:t>
      </w:r>
      <w:r w:rsidR="00EC66A5">
        <w:rPr>
          <w:lang w:val="nb-NO"/>
        </w:rPr>
        <w:t>Andelen</w:t>
      </w:r>
      <w:r w:rsidR="00FA3D24">
        <w:rPr>
          <w:lang w:val="nb-NO"/>
        </w:rPr>
        <w:t xml:space="preserve"> </w:t>
      </w:r>
      <w:r w:rsidR="00941472">
        <w:rPr>
          <w:lang w:val="nb-NO"/>
        </w:rPr>
        <w:t>(</w:t>
      </w:r>
      <w:r w:rsidR="00FA3D24">
        <w:rPr>
          <w:lang w:val="nb-NO"/>
        </w:rPr>
        <w:t>grønn kurve</w:t>
      </w:r>
      <w:r w:rsidR="00941472">
        <w:rPr>
          <w:lang w:val="nb-NO"/>
        </w:rPr>
        <w:t>)</w:t>
      </w:r>
      <w:r w:rsidR="00EC66A5">
        <w:rPr>
          <w:lang w:val="nb-NO"/>
        </w:rPr>
        <w:t xml:space="preserve"> som finner en alternativ bolig er</w:t>
      </w:r>
      <w:r w:rsidR="00F64EA4">
        <w:rPr>
          <w:lang w:val="nb-NO"/>
        </w:rPr>
        <w:t xml:space="preserve"> 10% for 60-69år, synkende til ca. 5% for 70-79</w:t>
      </w:r>
      <w:r w:rsidR="00937BAE">
        <w:rPr>
          <w:lang w:val="nb-NO"/>
        </w:rPr>
        <w:t xml:space="preserve"> år.</w:t>
      </w:r>
      <w:r w:rsidR="00494817">
        <w:rPr>
          <w:lang w:val="nb-NO"/>
        </w:rPr>
        <w:t xml:space="preserve"> Brun kurve viser snittet for bydelene i gamle KRS.</w:t>
      </w:r>
    </w:p>
    <w:p w14:paraId="6E58D0E1" w14:textId="23578123" w:rsidR="00C94EDB" w:rsidRDefault="00191C55" w:rsidP="00C60645">
      <w:pPr>
        <w:rPr>
          <w:lang w:val="nb-NO"/>
        </w:rPr>
      </w:pPr>
      <w:r>
        <w:rPr>
          <w:lang w:val="nb-NO"/>
        </w:rPr>
        <w:t>Ser vi på de siste tre år – 2017-19 var det 68 personer i gruppen 60-79 år som flyttet, og kun</w:t>
      </w:r>
      <w:r w:rsidR="00E2584F">
        <w:rPr>
          <w:lang w:val="nb-NO"/>
        </w:rPr>
        <w:t xml:space="preserve"> 5 </w:t>
      </w:r>
      <w:r w:rsidR="00B35DA8">
        <w:rPr>
          <w:lang w:val="nb-NO"/>
        </w:rPr>
        <w:t>(7,3</w:t>
      </w:r>
      <w:r w:rsidR="00626BE5">
        <w:rPr>
          <w:lang w:val="nb-NO"/>
        </w:rPr>
        <w:t>%)</w:t>
      </w:r>
      <w:r w:rsidR="00F72A97">
        <w:rPr>
          <w:lang w:val="nb-NO"/>
        </w:rPr>
        <w:t xml:space="preserve"> </w:t>
      </w:r>
      <w:r w:rsidR="00E2584F">
        <w:rPr>
          <w:lang w:val="nb-NO"/>
        </w:rPr>
        <w:t>av disse fant en alternativ bolig innen Justvik.</w:t>
      </w:r>
    </w:p>
    <w:p w14:paraId="2A6C99DD" w14:textId="05D4A244" w:rsidR="00F72A97" w:rsidRDefault="00993EE4" w:rsidP="00C60645">
      <w:pPr>
        <w:rPr>
          <w:lang w:val="nb-NO"/>
        </w:rPr>
      </w:pPr>
      <w:r>
        <w:rPr>
          <w:lang w:val="nb-NO"/>
        </w:rPr>
        <w:t xml:space="preserve">Det </w:t>
      </w:r>
      <w:r w:rsidR="00974A23">
        <w:rPr>
          <w:lang w:val="nb-NO"/>
        </w:rPr>
        <w:t>er kommet en del leiligheter på Justneshalvøya</w:t>
      </w:r>
      <w:r w:rsidR="00AE4C7D">
        <w:rPr>
          <w:lang w:val="nb-NO"/>
        </w:rPr>
        <w:t>. Men der er det så</w:t>
      </w:r>
      <w:r w:rsidR="00C90080">
        <w:rPr>
          <w:lang w:val="nb-NO"/>
        </w:rPr>
        <w:t xml:space="preserve"> </w:t>
      </w:r>
      <w:r w:rsidR="00AE4C7D">
        <w:rPr>
          <w:lang w:val="nb-NO"/>
        </w:rPr>
        <w:t>langt dårlig lagt til rette for kollektivforbindelse, og dagligvarebutikk er</w:t>
      </w:r>
      <w:r w:rsidR="00C90080">
        <w:rPr>
          <w:lang w:val="nb-NO"/>
        </w:rPr>
        <w:t xml:space="preserve"> ikke på plass.</w:t>
      </w:r>
    </w:p>
    <w:p w14:paraId="297B58BE" w14:textId="076D0C7D" w:rsidR="00C90080" w:rsidRDefault="00C90080" w:rsidP="00C60645">
      <w:pPr>
        <w:rPr>
          <w:lang w:val="nb-NO"/>
        </w:rPr>
      </w:pPr>
      <w:r>
        <w:rPr>
          <w:lang w:val="nb-NO"/>
        </w:rPr>
        <w:t xml:space="preserve">Det betyr at Justvik senter </w:t>
      </w:r>
      <w:r w:rsidR="00B277A5">
        <w:rPr>
          <w:lang w:val="nb-NO"/>
        </w:rPr>
        <w:t xml:space="preserve">får en viktig oppgave fremover med å tilby alternative boliger og senterfunksjoner. </w:t>
      </w:r>
      <w:r w:rsidR="00C80AF9">
        <w:rPr>
          <w:lang w:val="nb-NO"/>
        </w:rPr>
        <w:t xml:space="preserve">Flere eldre rundt senteret </w:t>
      </w:r>
      <w:r w:rsidR="00A614C5">
        <w:rPr>
          <w:lang w:val="nb-NO"/>
        </w:rPr>
        <w:t>samt</w:t>
      </w:r>
      <w:r w:rsidR="004D56C3">
        <w:rPr>
          <w:lang w:val="nb-NO"/>
        </w:rPr>
        <w:t xml:space="preserve"> senterfunksjonene for øvrig, som skole, bydelshus og kirke</w:t>
      </w:r>
      <w:r w:rsidR="00A614C5">
        <w:rPr>
          <w:lang w:val="nb-NO"/>
        </w:rPr>
        <w:t>,</w:t>
      </w:r>
      <w:r w:rsidR="004D56C3">
        <w:rPr>
          <w:lang w:val="nb-NO"/>
        </w:rPr>
        <w:t xml:space="preserve"> </w:t>
      </w:r>
      <w:r w:rsidR="00C80AF9">
        <w:rPr>
          <w:lang w:val="nb-NO"/>
        </w:rPr>
        <w:t>vil også styrke</w:t>
      </w:r>
      <w:r w:rsidR="00737570">
        <w:rPr>
          <w:lang w:val="nb-NO"/>
        </w:rPr>
        <w:t xml:space="preserve"> grunnlaget for eksisterende butikk.</w:t>
      </w:r>
      <w:r w:rsidR="00151A27">
        <w:rPr>
          <w:lang w:val="nb-NO"/>
        </w:rPr>
        <w:t xml:space="preserve"> Senteret er litt split</w:t>
      </w:r>
      <w:r w:rsidR="00A21E09">
        <w:rPr>
          <w:lang w:val="nb-NO"/>
        </w:rPr>
        <w:t>tet av riksveien</w:t>
      </w:r>
      <w:r w:rsidR="00D76FB9">
        <w:rPr>
          <w:lang w:val="nb-NO"/>
        </w:rPr>
        <w:t xml:space="preserve">, og det utvikles boliger </w:t>
      </w:r>
      <w:r w:rsidR="003B2113">
        <w:rPr>
          <w:lang w:val="nb-NO"/>
        </w:rPr>
        <w:t xml:space="preserve">i skråningen </w:t>
      </w:r>
      <w:r w:rsidR="00D76FB9">
        <w:rPr>
          <w:lang w:val="nb-NO"/>
        </w:rPr>
        <w:t>syd for skolen. Kanskje bør man se om det er mulig å styrke senteret</w:t>
      </w:r>
      <w:r w:rsidR="003D1E4F">
        <w:rPr>
          <w:lang w:val="nb-NO"/>
        </w:rPr>
        <w:t xml:space="preserve"> </w:t>
      </w:r>
      <w:r w:rsidR="003B2113">
        <w:rPr>
          <w:lang w:val="nb-NO"/>
        </w:rPr>
        <w:t>mer direkte nede på flaten.</w:t>
      </w:r>
    </w:p>
    <w:p w14:paraId="0293BB65" w14:textId="4E9FA4CE" w:rsidR="00FD41DE" w:rsidRDefault="00D0542E" w:rsidP="00C60645">
      <w:pPr>
        <w:rPr>
          <w:lang w:val="nb-NO"/>
        </w:rPr>
      </w:pPr>
      <w:r>
        <w:rPr>
          <w:lang w:val="nb-NO"/>
        </w:rPr>
        <w:t>På sikt, og allerede nå, er det behov for dagligvaretilbud på Justneshalvøya. Med Eide vil det bli ca. 1.100 boliger</w:t>
      </w:r>
      <w:r w:rsidR="00485921">
        <w:rPr>
          <w:lang w:val="nb-NO"/>
        </w:rPr>
        <w:t xml:space="preserve">, noe som er godt over tommelfingerregelen med 500 boliger som </w:t>
      </w:r>
      <w:r w:rsidR="00E146F1">
        <w:rPr>
          <w:lang w:val="nb-NO"/>
        </w:rPr>
        <w:t>minimum</w:t>
      </w:r>
      <w:r w:rsidR="00881FC4">
        <w:rPr>
          <w:lang w:val="nb-NO"/>
        </w:rPr>
        <w:t>s</w:t>
      </w:r>
      <w:r w:rsidR="00485921">
        <w:rPr>
          <w:lang w:val="nb-NO"/>
        </w:rPr>
        <w:t>grunnlag for drift.</w:t>
      </w:r>
      <w:r w:rsidR="003C55C0">
        <w:rPr>
          <w:lang w:val="nb-NO"/>
        </w:rPr>
        <w:t xml:space="preserve"> Problemstillingen har </w:t>
      </w:r>
      <w:r w:rsidR="00413334">
        <w:rPr>
          <w:lang w:val="nb-NO"/>
        </w:rPr>
        <w:t xml:space="preserve">tidligere </w:t>
      </w:r>
      <w:r w:rsidR="003C55C0">
        <w:rPr>
          <w:lang w:val="nb-NO"/>
        </w:rPr>
        <w:t>vært oppe til p</w:t>
      </w:r>
      <w:r w:rsidR="007E5F76">
        <w:rPr>
          <w:lang w:val="nb-NO"/>
        </w:rPr>
        <w:t>o</w:t>
      </w:r>
      <w:r w:rsidR="003C55C0">
        <w:rPr>
          <w:lang w:val="nb-NO"/>
        </w:rPr>
        <w:t>litisk behandli</w:t>
      </w:r>
      <w:r w:rsidR="007E5F76">
        <w:rPr>
          <w:lang w:val="nb-NO"/>
        </w:rPr>
        <w:t>n</w:t>
      </w:r>
      <w:r w:rsidR="003C55C0">
        <w:rPr>
          <w:lang w:val="nb-NO"/>
        </w:rPr>
        <w:t>g, og man var da klar på at ev. butikk mått</w:t>
      </w:r>
      <w:r w:rsidR="007E5F76">
        <w:rPr>
          <w:lang w:val="nb-NO"/>
        </w:rPr>
        <w:t>e</w:t>
      </w:r>
      <w:r w:rsidR="003C55C0">
        <w:rPr>
          <w:lang w:val="nb-NO"/>
        </w:rPr>
        <w:t xml:space="preserve"> trekk</w:t>
      </w:r>
      <w:r w:rsidR="00413334">
        <w:rPr>
          <w:lang w:val="nb-NO"/>
        </w:rPr>
        <w:t>e</w:t>
      </w:r>
      <w:r w:rsidR="003C55C0">
        <w:rPr>
          <w:lang w:val="nb-NO"/>
        </w:rPr>
        <w:t xml:space="preserve">s opp på </w:t>
      </w:r>
      <w:r w:rsidR="004A3C0B">
        <w:rPr>
          <w:lang w:val="nb-NO"/>
        </w:rPr>
        <w:t>halvøya for ikke å underminere Justvik senter.</w:t>
      </w:r>
    </w:p>
    <w:p w14:paraId="5D825B0F" w14:textId="6E6E5E15" w:rsidR="00296519" w:rsidRPr="00C60645" w:rsidRDefault="00B228B3" w:rsidP="00C60645">
      <w:pPr>
        <w:rPr>
          <w:lang w:val="nb-NO"/>
        </w:rPr>
      </w:pPr>
      <w:r>
        <w:rPr>
          <w:lang w:val="nb-NO"/>
        </w:rPr>
        <w:t>På Ålefjær</w:t>
      </w:r>
      <w:r w:rsidR="00A10B4E">
        <w:rPr>
          <w:lang w:val="nb-NO"/>
        </w:rPr>
        <w:t xml:space="preserve"> brygge</w:t>
      </w:r>
      <w:r>
        <w:rPr>
          <w:lang w:val="nb-NO"/>
        </w:rPr>
        <w:t xml:space="preserve"> er det planer om et leilighetsanlegg</w:t>
      </w:r>
      <w:r w:rsidR="00B10BBD">
        <w:rPr>
          <w:lang w:val="nb-NO"/>
        </w:rPr>
        <w:t xml:space="preserve"> med i alt 100 leiligh</w:t>
      </w:r>
      <w:r w:rsidR="00932B02">
        <w:rPr>
          <w:lang w:val="nb-NO"/>
        </w:rPr>
        <w:t>e</w:t>
      </w:r>
      <w:r w:rsidR="00B10BBD">
        <w:rPr>
          <w:lang w:val="nb-NO"/>
        </w:rPr>
        <w:t>ter</w:t>
      </w:r>
      <w:r w:rsidR="00A10B4E">
        <w:rPr>
          <w:lang w:val="nb-NO"/>
        </w:rPr>
        <w:t>. Dette er så</w:t>
      </w:r>
      <w:r w:rsidR="003B0B53">
        <w:rPr>
          <w:lang w:val="nb-NO"/>
        </w:rPr>
        <w:t xml:space="preserve"> </w:t>
      </w:r>
      <w:r w:rsidR="00A10B4E">
        <w:rPr>
          <w:lang w:val="nb-NO"/>
        </w:rPr>
        <w:t>langt ikke satt i gang.</w:t>
      </w:r>
      <w:r w:rsidR="00634B81">
        <w:rPr>
          <w:lang w:val="nb-NO"/>
        </w:rPr>
        <w:t xml:space="preserve"> Når det kommer</w:t>
      </w:r>
      <w:r w:rsidR="007429E2">
        <w:rPr>
          <w:lang w:val="nb-NO"/>
        </w:rPr>
        <w:t>,</w:t>
      </w:r>
      <w:r w:rsidR="00634B81">
        <w:rPr>
          <w:lang w:val="nb-NO"/>
        </w:rPr>
        <w:t xml:space="preserve"> vil et slikt anlegg kunne tilby</w:t>
      </w:r>
      <w:r w:rsidR="007A2136">
        <w:rPr>
          <w:lang w:val="nb-NO"/>
        </w:rPr>
        <w:t xml:space="preserve"> alternativ</w:t>
      </w:r>
      <w:r w:rsidR="00B17C5B">
        <w:rPr>
          <w:lang w:val="nb-NO"/>
        </w:rPr>
        <w:t>e</w:t>
      </w:r>
      <w:r w:rsidR="007A2136">
        <w:rPr>
          <w:lang w:val="nb-NO"/>
        </w:rPr>
        <w:t xml:space="preserve"> bolig</w:t>
      </w:r>
      <w:r w:rsidR="00B17C5B">
        <w:rPr>
          <w:lang w:val="nb-NO"/>
        </w:rPr>
        <w:t>er</w:t>
      </w:r>
      <w:r w:rsidR="007A2136">
        <w:rPr>
          <w:lang w:val="nb-NO"/>
        </w:rPr>
        <w:t xml:space="preserve"> i et delområde som har typisk bygde-karakter</w:t>
      </w:r>
      <w:r w:rsidR="006D1F3C">
        <w:rPr>
          <w:lang w:val="nb-NO"/>
        </w:rPr>
        <w:t xml:space="preserve"> og ikke noe markert senter, særlig etter at nærbutikken</w:t>
      </w:r>
      <w:r w:rsidR="002F342F">
        <w:rPr>
          <w:lang w:val="nb-NO"/>
        </w:rPr>
        <w:t xml:space="preserve"> ble lagt ned for noen år siden</w:t>
      </w:r>
      <w:bookmarkStart w:id="0" w:name="_GoBack"/>
      <w:bookmarkEnd w:id="0"/>
      <w:r w:rsidR="00B17C5B">
        <w:rPr>
          <w:lang w:val="nb-NO"/>
        </w:rPr>
        <w:t>.</w:t>
      </w:r>
      <w:r w:rsidR="00B97016">
        <w:rPr>
          <w:lang w:val="nb-NO"/>
        </w:rPr>
        <w:t xml:space="preserve"> Vi kan også håpe på </w:t>
      </w:r>
      <w:r w:rsidR="00EF5BA1">
        <w:rPr>
          <w:lang w:val="nb-NO"/>
        </w:rPr>
        <w:t xml:space="preserve">ulike </w:t>
      </w:r>
      <w:r w:rsidR="006C7719">
        <w:rPr>
          <w:lang w:val="nb-NO"/>
        </w:rPr>
        <w:t>sosiale tilbud</w:t>
      </w:r>
      <w:r w:rsidR="00EF5BA1">
        <w:rPr>
          <w:lang w:val="nb-NO"/>
        </w:rPr>
        <w:t xml:space="preserve"> ifm. anlegget.</w:t>
      </w:r>
    </w:p>
    <w:p w14:paraId="355DF572" w14:textId="5C5106B6" w:rsidR="00F92023" w:rsidRDefault="00F92023">
      <w:pPr>
        <w:rPr>
          <w:lang w:val="nb-NO"/>
        </w:rPr>
      </w:pPr>
      <w:r>
        <w:rPr>
          <w:lang w:val="nb-NO"/>
        </w:rPr>
        <w:t>Fremskrivningen for de enkelte områder er slik i diagrams form:</w:t>
      </w:r>
    </w:p>
    <w:p w14:paraId="7552C07D" w14:textId="2C7EC0D3" w:rsidR="007750B9" w:rsidRDefault="002F759C">
      <w:pPr>
        <w:rPr>
          <w:lang w:val="nb-NO"/>
        </w:rPr>
      </w:pPr>
      <w:r>
        <w:rPr>
          <w:noProof/>
          <w:lang w:val="nb-NO"/>
        </w:rPr>
        <w:lastRenderedPageBreak/>
        <w:drawing>
          <wp:inline distT="0" distB="0" distL="0" distR="0" wp14:anchorId="2B65B8C2" wp14:editId="035B8650">
            <wp:extent cx="3314700" cy="1861017"/>
            <wp:effectExtent l="0" t="0" r="0" b="6350"/>
            <wp:docPr id="39" name="Bild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60" cy="1877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17C">
        <w:rPr>
          <w:noProof/>
          <w:lang w:val="nb-NO"/>
        </w:rPr>
        <w:drawing>
          <wp:inline distT="0" distB="0" distL="0" distR="0" wp14:anchorId="62429638" wp14:editId="413910C7">
            <wp:extent cx="3306686" cy="1859915"/>
            <wp:effectExtent l="0" t="0" r="8255" b="6985"/>
            <wp:docPr id="40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749" cy="1886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7C42B" w14:textId="07DC661D" w:rsidR="00CB609A" w:rsidRDefault="009C4379" w:rsidP="00CB609A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75648" behindDoc="1" locked="0" layoutInCell="1" allowOverlap="1" wp14:anchorId="4F082405" wp14:editId="7A274A60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343275" cy="1880497"/>
            <wp:effectExtent l="0" t="0" r="0" b="5715"/>
            <wp:wrapTight wrapText="bothSides">
              <wp:wrapPolygon edited="0">
                <wp:start x="0" y="0"/>
                <wp:lineTo x="0" y="21447"/>
                <wp:lineTo x="21415" y="21447"/>
                <wp:lineTo x="21415" y="0"/>
                <wp:lineTo x="0" y="0"/>
              </wp:wrapPolygon>
            </wp:wrapTight>
            <wp:docPr id="41" name="Bil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80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09A">
        <w:rPr>
          <w:lang w:val="nb-NO"/>
        </w:rPr>
        <w:t xml:space="preserve">Det blir </w:t>
      </w:r>
      <w:r w:rsidR="005366DB">
        <w:rPr>
          <w:lang w:val="nb-NO"/>
        </w:rPr>
        <w:t xml:space="preserve">i disse områdene, som ellers i kommunen, </w:t>
      </w:r>
      <w:r w:rsidR="00CB609A">
        <w:rPr>
          <w:lang w:val="nb-NO"/>
        </w:rPr>
        <w:t xml:space="preserve">en viktig oppgave å skape gode nærsentre for å motvirke ensomhet, skape aktivisering, samt optimalisere egenomsorg utfra de eldre som en ressurs. </w:t>
      </w:r>
    </w:p>
    <w:p w14:paraId="19E8A437" w14:textId="77777777" w:rsidR="00706076" w:rsidRDefault="00706076" w:rsidP="0073673F">
      <w:pPr>
        <w:pStyle w:val="Overskrift1"/>
        <w:rPr>
          <w:b/>
          <w:lang w:val="nb-NO"/>
        </w:rPr>
      </w:pPr>
    </w:p>
    <w:p w14:paraId="01C9B05A" w14:textId="77777777" w:rsidR="00706076" w:rsidRDefault="00706076" w:rsidP="0073673F">
      <w:pPr>
        <w:pStyle w:val="Overskrift1"/>
        <w:rPr>
          <w:b/>
          <w:lang w:val="nb-NO"/>
        </w:rPr>
      </w:pPr>
    </w:p>
    <w:p w14:paraId="76A5B6C6" w14:textId="77777777" w:rsidR="00706076" w:rsidRDefault="00706076" w:rsidP="0073673F">
      <w:pPr>
        <w:pStyle w:val="Overskrift1"/>
        <w:rPr>
          <w:b/>
          <w:lang w:val="nb-NO"/>
        </w:rPr>
      </w:pPr>
    </w:p>
    <w:p w14:paraId="3E2A69FE" w14:textId="07DE5715" w:rsidR="0073673F" w:rsidRPr="00921662" w:rsidRDefault="00772004" w:rsidP="0073673F">
      <w:pPr>
        <w:pStyle w:val="Overskrift1"/>
        <w:rPr>
          <w:b/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78720" behindDoc="1" locked="0" layoutInCell="1" allowOverlap="1" wp14:anchorId="3876BC0F" wp14:editId="77BF62F1">
            <wp:simplePos x="0" y="0"/>
            <wp:positionH relativeFrom="margin">
              <wp:align>left</wp:align>
            </wp:positionH>
            <wp:positionV relativeFrom="paragraph">
              <wp:posOffset>418465</wp:posOffset>
            </wp:positionV>
            <wp:extent cx="2772410" cy="3233420"/>
            <wp:effectExtent l="0" t="0" r="8890" b="5080"/>
            <wp:wrapTight wrapText="bothSides">
              <wp:wrapPolygon edited="0">
                <wp:start x="0" y="0"/>
                <wp:lineTo x="0" y="21507"/>
                <wp:lineTo x="21521" y="21507"/>
                <wp:lineTo x="21521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323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73F" w:rsidRPr="00921662">
        <w:rPr>
          <w:b/>
          <w:lang w:val="nb-NO"/>
        </w:rPr>
        <w:t xml:space="preserve">Sosioøkonomiske forhold </w:t>
      </w:r>
    </w:p>
    <w:p w14:paraId="25923FE5" w14:textId="5B8E945B" w:rsidR="007D2F6A" w:rsidRDefault="00FE28F9">
      <w:pPr>
        <w:rPr>
          <w:lang w:val="nb-NO"/>
        </w:rPr>
      </w:pPr>
      <w:r>
        <w:rPr>
          <w:lang w:val="nb-NO"/>
        </w:rPr>
        <w:t>S</w:t>
      </w:r>
      <w:r w:rsidR="000A00A4">
        <w:rPr>
          <w:lang w:val="nb-NO"/>
        </w:rPr>
        <w:t xml:space="preserve">osioøkonomiske forhold </w:t>
      </w:r>
      <w:r w:rsidR="00CB0308">
        <w:rPr>
          <w:lang w:val="nb-NO"/>
        </w:rPr>
        <w:t>er relativt stabile, derfor pres</w:t>
      </w:r>
      <w:r w:rsidR="004038DA">
        <w:rPr>
          <w:lang w:val="nb-NO"/>
        </w:rPr>
        <w:t>e</w:t>
      </w:r>
      <w:r w:rsidR="00CB0308">
        <w:rPr>
          <w:lang w:val="nb-NO"/>
        </w:rPr>
        <w:t>nterer vil</w:t>
      </w:r>
      <w:r w:rsidR="004038DA">
        <w:rPr>
          <w:lang w:val="nb-NO"/>
        </w:rPr>
        <w:t xml:space="preserve"> det vi har fra noen få år tilbake.</w:t>
      </w:r>
      <w:r w:rsidR="00E62865">
        <w:rPr>
          <w:lang w:val="nb-NO"/>
        </w:rPr>
        <w:t xml:space="preserve"> Vi indekserer mot kommunesnittet på samme måte som forklart tidligere.</w:t>
      </w:r>
    </w:p>
    <w:p w14:paraId="28E2CC36" w14:textId="7722A3F6" w:rsidR="00897E0D" w:rsidRDefault="00B7128F">
      <w:pPr>
        <w:rPr>
          <w:lang w:val="nb-NO"/>
        </w:rPr>
      </w:pPr>
      <w:r>
        <w:rPr>
          <w:lang w:val="nb-NO"/>
        </w:rPr>
        <w:t xml:space="preserve">Vi ser at </w:t>
      </w:r>
      <w:r w:rsidR="00ED3856">
        <w:rPr>
          <w:lang w:val="nb-NO"/>
        </w:rPr>
        <w:t>Justvik</w:t>
      </w:r>
      <w:r w:rsidR="009757D4">
        <w:rPr>
          <w:lang w:val="nb-NO"/>
        </w:rPr>
        <w:t xml:space="preserve"> sett under ett - </w:t>
      </w:r>
      <w:r>
        <w:rPr>
          <w:lang w:val="nb-NO"/>
        </w:rPr>
        <w:t xml:space="preserve">har </w:t>
      </w:r>
      <w:r w:rsidR="00121B58">
        <w:rPr>
          <w:lang w:val="nb-NO"/>
        </w:rPr>
        <w:t>mindre</w:t>
      </w:r>
      <w:r w:rsidR="009757D4">
        <w:rPr>
          <w:lang w:val="nb-NO"/>
        </w:rPr>
        <w:t xml:space="preserve"> innsla</w:t>
      </w:r>
      <w:r w:rsidR="001272FF">
        <w:rPr>
          <w:lang w:val="nb-NO"/>
        </w:rPr>
        <w:t>g av</w:t>
      </w:r>
      <w:r>
        <w:rPr>
          <w:lang w:val="nb-NO"/>
        </w:rPr>
        <w:t xml:space="preserve"> barn </w:t>
      </w:r>
      <w:r w:rsidR="009D7202">
        <w:rPr>
          <w:lang w:val="nb-NO"/>
        </w:rPr>
        <w:t>av ikke-vestlig mor</w:t>
      </w:r>
      <w:r w:rsidR="00121B58">
        <w:rPr>
          <w:lang w:val="nb-NO"/>
        </w:rPr>
        <w:t xml:space="preserve">, og </w:t>
      </w:r>
      <w:r w:rsidR="00E17E41">
        <w:rPr>
          <w:lang w:val="nb-NO"/>
        </w:rPr>
        <w:t>mindre ut</w:t>
      </w:r>
      <w:r w:rsidR="00587F3D">
        <w:rPr>
          <w:lang w:val="nb-NO"/>
        </w:rPr>
        <w:t>fl</w:t>
      </w:r>
      <w:r w:rsidR="00E17E41">
        <w:rPr>
          <w:lang w:val="nb-NO"/>
        </w:rPr>
        <w:t>ytting</w:t>
      </w:r>
      <w:r w:rsidR="00587F3D">
        <w:rPr>
          <w:lang w:val="nb-NO"/>
        </w:rPr>
        <w:t xml:space="preserve"> enn kommunensittet, både målt ved totalbefolkningen og barn 0-5 år. </w:t>
      </w:r>
      <w:r w:rsidR="007F1527">
        <w:rPr>
          <w:lang w:val="nb-NO"/>
        </w:rPr>
        <w:t>Utdanningsnivåe</w:t>
      </w:r>
      <w:r w:rsidR="002C5FB5">
        <w:rPr>
          <w:lang w:val="nb-NO"/>
        </w:rPr>
        <w:t>t</w:t>
      </w:r>
      <w:r w:rsidR="007F1527">
        <w:rPr>
          <w:lang w:val="nb-NO"/>
        </w:rPr>
        <w:t xml:space="preserve"> er omtrent som kommu</w:t>
      </w:r>
      <w:r w:rsidR="002C5FB5">
        <w:rPr>
          <w:lang w:val="nb-NO"/>
        </w:rPr>
        <w:t>n</w:t>
      </w:r>
      <w:r w:rsidR="007F1527">
        <w:rPr>
          <w:lang w:val="nb-NO"/>
        </w:rPr>
        <w:t>esnittet.</w:t>
      </w:r>
      <w:r w:rsidR="002C5FB5">
        <w:rPr>
          <w:lang w:val="nb-NO"/>
        </w:rPr>
        <w:t xml:space="preserve"> </w:t>
      </w:r>
      <w:r w:rsidR="00121B58">
        <w:rPr>
          <w:lang w:val="nb-NO"/>
        </w:rPr>
        <w:t>noe større innslag av foreldre med lav utdannelse (grunnskole som høyeste utdannelse)</w:t>
      </w:r>
      <w:r w:rsidR="009D7202">
        <w:rPr>
          <w:lang w:val="nb-NO"/>
        </w:rPr>
        <w:t>.</w:t>
      </w:r>
      <w:r w:rsidR="004E36FF">
        <w:rPr>
          <w:lang w:val="nb-NO"/>
        </w:rPr>
        <w:t xml:space="preserve"> Bomiljøet </w:t>
      </w:r>
      <w:r w:rsidR="006A7701">
        <w:rPr>
          <w:lang w:val="nb-NO"/>
        </w:rPr>
        <w:t xml:space="preserve">var i </w:t>
      </w:r>
      <w:r w:rsidR="00F83312">
        <w:rPr>
          <w:lang w:val="nb-NO"/>
        </w:rPr>
        <w:t xml:space="preserve">2013 noe </w:t>
      </w:r>
      <w:r w:rsidR="00121B58">
        <w:rPr>
          <w:lang w:val="nb-NO"/>
        </w:rPr>
        <w:t>mer</w:t>
      </w:r>
      <w:r w:rsidR="00F83312">
        <w:rPr>
          <w:lang w:val="nb-NO"/>
        </w:rPr>
        <w:t xml:space="preserve"> stabilt</w:t>
      </w:r>
      <w:r w:rsidR="004B2593">
        <w:rPr>
          <w:lang w:val="nb-NO"/>
        </w:rPr>
        <w:t xml:space="preserve"> enn snitt for kommunen,</w:t>
      </w:r>
      <w:r w:rsidR="00F83312">
        <w:rPr>
          <w:lang w:val="nb-NO"/>
        </w:rPr>
        <w:t xml:space="preserve"> målt utfra utflytting barn 0-5</w:t>
      </w:r>
      <w:r w:rsidR="004B2593">
        <w:rPr>
          <w:lang w:val="nb-NO"/>
        </w:rPr>
        <w:t xml:space="preserve">år. </w:t>
      </w:r>
      <w:r w:rsidR="00121B58">
        <w:rPr>
          <w:lang w:val="nb-NO"/>
        </w:rPr>
        <w:t>Denne sosioøkonomiske profilen er litt typisk for perifere delområder med et betydelig bygdepreg.</w:t>
      </w:r>
    </w:p>
    <w:p w14:paraId="42C9BFE6" w14:textId="183F128F" w:rsidR="00402342" w:rsidRDefault="00402342">
      <w:pPr>
        <w:rPr>
          <w:lang w:val="nb-NO"/>
        </w:rPr>
      </w:pPr>
      <w:r w:rsidRPr="00264E55">
        <w:rPr>
          <w:i/>
          <w:iCs/>
          <w:lang w:val="nb-NO"/>
        </w:rPr>
        <w:t>Ikke gift 30-49 år</w:t>
      </w:r>
      <w:r w:rsidR="00487AC6">
        <w:rPr>
          <w:lang w:val="nb-NO"/>
        </w:rPr>
        <w:t xml:space="preserve"> </w:t>
      </w:r>
      <w:r w:rsidR="00121B58">
        <w:rPr>
          <w:lang w:val="nb-NO"/>
        </w:rPr>
        <w:t xml:space="preserve">er omtrent som </w:t>
      </w:r>
      <w:r w:rsidR="00487AC6">
        <w:rPr>
          <w:lang w:val="nb-NO"/>
        </w:rPr>
        <w:t>snittet for KRS. Dette gjelder begge</w:t>
      </w:r>
      <w:r w:rsidR="00126599">
        <w:rPr>
          <w:lang w:val="nb-NO"/>
        </w:rPr>
        <w:t xml:space="preserve"> kjønn. Indeksen </w:t>
      </w:r>
      <w:r w:rsidR="00915771">
        <w:rPr>
          <w:lang w:val="nb-NO"/>
        </w:rPr>
        <w:t xml:space="preserve">betraktes som interessant fra faglig hold, men er noe </w:t>
      </w:r>
      <w:r w:rsidR="00121B58">
        <w:rPr>
          <w:lang w:val="nb-NO"/>
        </w:rPr>
        <w:t xml:space="preserve">metodisk </w:t>
      </w:r>
      <w:r w:rsidR="00915771">
        <w:rPr>
          <w:lang w:val="nb-NO"/>
        </w:rPr>
        <w:t>utsatt</w:t>
      </w:r>
      <w:r w:rsidR="00162090">
        <w:rPr>
          <w:lang w:val="nb-NO"/>
        </w:rPr>
        <w:t xml:space="preserve"> etter at samboerskap er blitt mer utbredt.</w:t>
      </w:r>
    </w:p>
    <w:p w14:paraId="7A08213A" w14:textId="18E67C9E" w:rsidR="003252C1" w:rsidRPr="003252C1" w:rsidRDefault="003A443B">
      <w:pPr>
        <w:rPr>
          <w:lang w:val="nb-NO"/>
        </w:rPr>
      </w:pPr>
      <w:r>
        <w:rPr>
          <w:b/>
          <w:bCs/>
          <w:noProof/>
          <w:lang w:val="nb-NO"/>
        </w:rPr>
        <w:lastRenderedPageBreak/>
        <w:drawing>
          <wp:anchor distT="0" distB="0" distL="114300" distR="114300" simplePos="0" relativeHeight="251679744" behindDoc="1" locked="0" layoutInCell="1" allowOverlap="1" wp14:anchorId="1CD0212F" wp14:editId="2327DC28">
            <wp:simplePos x="0" y="0"/>
            <wp:positionH relativeFrom="column">
              <wp:posOffset>-70485</wp:posOffset>
            </wp:positionH>
            <wp:positionV relativeFrom="paragraph">
              <wp:posOffset>478790</wp:posOffset>
            </wp:positionV>
            <wp:extent cx="2420620" cy="2804795"/>
            <wp:effectExtent l="0" t="0" r="0" b="0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80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A3E">
        <w:rPr>
          <w:b/>
          <w:bCs/>
          <w:lang w:val="nb-NO"/>
        </w:rPr>
        <w:t xml:space="preserve">Ålefjær </w:t>
      </w:r>
      <w:r w:rsidR="00A84938">
        <w:rPr>
          <w:b/>
          <w:bCs/>
          <w:lang w:val="nb-NO"/>
        </w:rPr>
        <w:t xml:space="preserve"> </w:t>
      </w:r>
      <w:r w:rsidR="00A84938" w:rsidRPr="003252C1">
        <w:rPr>
          <w:lang w:val="nb-NO"/>
        </w:rPr>
        <w:t xml:space="preserve">har ganske gunstig skåre på de valgte indikatorer, bortsett fra </w:t>
      </w:r>
      <w:r w:rsidR="002E1E4E" w:rsidRPr="008E720E">
        <w:rPr>
          <w:i/>
          <w:iCs/>
          <w:lang w:val="nb-NO"/>
        </w:rPr>
        <w:t>utdannelse bak hvert barn</w:t>
      </w:r>
      <w:r w:rsidR="002E1E4E" w:rsidRPr="003252C1">
        <w:rPr>
          <w:lang w:val="nb-NO"/>
        </w:rPr>
        <w:t>. Hyppigheten av grunnskole som høyeste utdannelse</w:t>
      </w:r>
      <w:r w:rsidR="003252C1" w:rsidRPr="003252C1">
        <w:rPr>
          <w:lang w:val="nb-NO"/>
        </w:rPr>
        <w:t xml:space="preserve"> er noe over 150% i forhold til kommune</w:t>
      </w:r>
      <w:r w:rsidR="008E6F70">
        <w:rPr>
          <w:lang w:val="nb-NO"/>
        </w:rPr>
        <w:t>s</w:t>
      </w:r>
      <w:r w:rsidR="003252C1" w:rsidRPr="003252C1">
        <w:rPr>
          <w:lang w:val="nb-NO"/>
        </w:rPr>
        <w:t xml:space="preserve">nittet. </w:t>
      </w:r>
    </w:p>
    <w:p w14:paraId="686433F1" w14:textId="77777777" w:rsidR="00393505" w:rsidRDefault="00393505">
      <w:pPr>
        <w:rPr>
          <w:lang w:val="nb-NO"/>
        </w:rPr>
      </w:pPr>
    </w:p>
    <w:p w14:paraId="409A34B4" w14:textId="77777777" w:rsidR="00393505" w:rsidRDefault="00393505">
      <w:pPr>
        <w:rPr>
          <w:lang w:val="nb-NO"/>
        </w:rPr>
      </w:pPr>
    </w:p>
    <w:p w14:paraId="3F4AA4A0" w14:textId="77777777" w:rsidR="00393505" w:rsidRDefault="00393505">
      <w:pPr>
        <w:rPr>
          <w:lang w:val="nb-NO"/>
        </w:rPr>
      </w:pPr>
    </w:p>
    <w:p w14:paraId="144066B0" w14:textId="77777777" w:rsidR="00393505" w:rsidRDefault="00393505">
      <w:pPr>
        <w:rPr>
          <w:lang w:val="nb-NO"/>
        </w:rPr>
      </w:pPr>
    </w:p>
    <w:p w14:paraId="4FC27F68" w14:textId="77777777" w:rsidR="00393505" w:rsidRDefault="00393505">
      <w:pPr>
        <w:rPr>
          <w:lang w:val="nb-NO"/>
        </w:rPr>
      </w:pPr>
    </w:p>
    <w:p w14:paraId="244C3C5E" w14:textId="77777777" w:rsidR="00393505" w:rsidRDefault="00393505">
      <w:pPr>
        <w:rPr>
          <w:lang w:val="nb-NO"/>
        </w:rPr>
      </w:pPr>
    </w:p>
    <w:p w14:paraId="6E74C216" w14:textId="77777777" w:rsidR="00FE10DD" w:rsidRDefault="00FE10DD">
      <w:pPr>
        <w:rPr>
          <w:lang w:val="nb-NO"/>
        </w:rPr>
      </w:pPr>
    </w:p>
    <w:p w14:paraId="06287E2C" w14:textId="77777777" w:rsidR="00FE10DD" w:rsidRDefault="00FE10DD">
      <w:pPr>
        <w:rPr>
          <w:lang w:val="nb-NO"/>
        </w:rPr>
      </w:pPr>
    </w:p>
    <w:p w14:paraId="0D49F411" w14:textId="77777777" w:rsidR="00FE10DD" w:rsidRDefault="00FE10DD">
      <w:pPr>
        <w:rPr>
          <w:lang w:val="nb-NO"/>
        </w:rPr>
      </w:pPr>
    </w:p>
    <w:p w14:paraId="463E7ADA" w14:textId="77777777" w:rsidR="00FE10DD" w:rsidRDefault="00FE10DD">
      <w:pPr>
        <w:rPr>
          <w:lang w:val="nb-NO"/>
        </w:rPr>
      </w:pPr>
    </w:p>
    <w:p w14:paraId="28311541" w14:textId="6924DCFB" w:rsidR="00A272F3" w:rsidRDefault="00A34BC5">
      <w:pPr>
        <w:rPr>
          <w:lang w:val="nb-NO"/>
        </w:rPr>
      </w:pPr>
      <w:r w:rsidRPr="00A34BC5">
        <w:rPr>
          <w:lang w:val="nb-NO"/>
        </w:rPr>
        <w:t xml:space="preserve">Vi har </w:t>
      </w:r>
      <w:r>
        <w:rPr>
          <w:lang w:val="nb-NO"/>
        </w:rPr>
        <w:t>også en del nyere levekårsdata</w:t>
      </w:r>
      <w:r w:rsidR="00D75398">
        <w:rPr>
          <w:lang w:val="nb-NO"/>
        </w:rPr>
        <w:t xml:space="preserve"> fra 2018. </w:t>
      </w:r>
      <w:r w:rsidR="00460A6B">
        <w:rPr>
          <w:lang w:val="nb-NO"/>
        </w:rPr>
        <w:t>Det dreier seg om en levekårspakke som SSB tilbyr kommunene</w:t>
      </w:r>
      <w:r w:rsidR="00E90CEF">
        <w:rPr>
          <w:lang w:val="nb-NO"/>
        </w:rPr>
        <w:t xml:space="preserve">. </w:t>
      </w:r>
      <w:r w:rsidR="00E13D2E">
        <w:rPr>
          <w:lang w:val="nb-NO"/>
        </w:rPr>
        <w:t>For</w:t>
      </w:r>
      <w:r w:rsidR="00DC7781">
        <w:rPr>
          <w:lang w:val="nb-NO"/>
        </w:rPr>
        <w:t xml:space="preserve"> å unngå for små tall, har vi delt kommunen inn i 50 levekårssoner. </w:t>
      </w:r>
      <w:r w:rsidR="004C2AEC">
        <w:rPr>
          <w:lang w:val="nb-NO"/>
        </w:rPr>
        <w:t>Justvik</w:t>
      </w:r>
      <w:r w:rsidR="003B0E93">
        <w:rPr>
          <w:lang w:val="nb-NO"/>
        </w:rPr>
        <w:t xml:space="preserve">/Ålefjær er her slått sammen, bortsett fra </w:t>
      </w:r>
      <w:r w:rsidR="00AF19A3">
        <w:rPr>
          <w:lang w:val="nb-NO"/>
        </w:rPr>
        <w:t xml:space="preserve">at </w:t>
      </w:r>
      <w:r w:rsidR="003B0E93">
        <w:rPr>
          <w:lang w:val="nb-NO"/>
        </w:rPr>
        <w:t xml:space="preserve">Jærnesheia </w:t>
      </w:r>
      <w:r w:rsidR="00BD3AA9">
        <w:rPr>
          <w:lang w:val="nb-NO"/>
        </w:rPr>
        <w:t xml:space="preserve">er skilt ut som egen levekårssone. </w:t>
      </w:r>
    </w:p>
    <w:p w14:paraId="10603591" w14:textId="77777777" w:rsidR="009D53E8" w:rsidRDefault="009D53E8" w:rsidP="009D53E8">
      <w:pPr>
        <w:rPr>
          <w:lang w:val="nb-NO"/>
        </w:rPr>
      </w:pPr>
      <w:r>
        <w:rPr>
          <w:lang w:val="nb-NO"/>
        </w:rPr>
        <w:t>Av indikatorene vi har fått kan vi nevne følgende sentrale:</w:t>
      </w:r>
    </w:p>
    <w:p w14:paraId="55F3B299" w14:textId="77777777" w:rsidR="009D53E8" w:rsidRPr="00004946" w:rsidRDefault="009D53E8" w:rsidP="009D53E8">
      <w:pPr>
        <w:pStyle w:val="Listeavsnitt"/>
        <w:numPr>
          <w:ilvl w:val="0"/>
          <w:numId w:val="2"/>
        </w:numPr>
        <w:rPr>
          <w:lang w:val="nb-NO"/>
        </w:rPr>
      </w:pPr>
      <w:r w:rsidRPr="00004946">
        <w:rPr>
          <w:lang w:val="nb-NO"/>
        </w:rPr>
        <w:t>Ikke oppnådd kompetanse i løpet av 5 år etter grunnskolen.</w:t>
      </w:r>
    </w:p>
    <w:p w14:paraId="011776E5" w14:textId="77777777" w:rsidR="009D53E8" w:rsidRDefault="009D53E8" w:rsidP="009D53E8">
      <w:pPr>
        <w:pStyle w:val="Listeavsnitt"/>
        <w:numPr>
          <w:ilvl w:val="0"/>
          <w:numId w:val="2"/>
        </w:numPr>
        <w:rPr>
          <w:lang w:val="nb-NO"/>
        </w:rPr>
      </w:pPr>
      <w:r w:rsidRPr="00004946">
        <w:rPr>
          <w:lang w:val="nb-NO"/>
        </w:rPr>
        <w:t xml:space="preserve">Barn i lavinntektshusholdninger (EU60) </w:t>
      </w:r>
    </w:p>
    <w:p w14:paraId="7C38E476" w14:textId="77777777" w:rsidR="009D53E8" w:rsidRPr="00004946" w:rsidRDefault="009D53E8" w:rsidP="009D53E8">
      <w:pPr>
        <w:pStyle w:val="Listeavsnitt"/>
        <w:numPr>
          <w:ilvl w:val="0"/>
          <w:numId w:val="2"/>
        </w:numPr>
        <w:rPr>
          <w:lang w:val="nb-NO"/>
        </w:rPr>
      </w:pPr>
      <w:r w:rsidRPr="00004946">
        <w:rPr>
          <w:lang w:val="nb-NO"/>
        </w:rPr>
        <w:t>Mottagere av arbeidsavklaringspenger (18-66år)</w:t>
      </w:r>
    </w:p>
    <w:p w14:paraId="2DA188B1" w14:textId="77777777" w:rsidR="009D53E8" w:rsidRPr="003A0B0F" w:rsidRDefault="009D53E8" w:rsidP="009D53E8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Registrert arbeidsledighet</w:t>
      </w:r>
    </w:p>
    <w:p w14:paraId="2905BD0D" w14:textId="77777777" w:rsidR="009D53E8" w:rsidRPr="003A0B0F" w:rsidRDefault="009D53E8" w:rsidP="009D53E8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Registrert ungdomsledighet</w:t>
      </w:r>
    </w:p>
    <w:p w14:paraId="5C3271E4" w14:textId="77777777" w:rsidR="009D53E8" w:rsidRPr="003A0B0F" w:rsidRDefault="009D53E8" w:rsidP="009D53E8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Sosialhjelpsmottagere</w:t>
      </w:r>
    </w:p>
    <w:p w14:paraId="16480D53" w14:textId="77777777" w:rsidR="009D53E8" w:rsidRPr="003A0B0F" w:rsidRDefault="009D53E8" w:rsidP="009D53E8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Unge uførepensjonister</w:t>
      </w:r>
    </w:p>
    <w:p w14:paraId="6533E64B" w14:textId="77777777" w:rsidR="009D53E8" w:rsidRPr="003A0B0F" w:rsidRDefault="009D53E8" w:rsidP="009D53E8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Overgangsstønad (16-39 år)</w:t>
      </w:r>
    </w:p>
    <w:p w14:paraId="1316AD7B" w14:textId="77777777" w:rsidR="009D53E8" w:rsidRPr="003A0B0F" w:rsidRDefault="009D53E8" w:rsidP="009D53E8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Barn med barnevernstiltak</w:t>
      </w:r>
    </w:p>
    <w:p w14:paraId="68303FC6" w14:textId="15228F00" w:rsidR="00E565F2" w:rsidRDefault="00D1387F">
      <w:pPr>
        <w:rPr>
          <w:noProof/>
          <w:lang w:val="nb-NO"/>
        </w:rPr>
      </w:pPr>
      <w:r>
        <w:rPr>
          <w:lang w:val="nb-NO"/>
        </w:rPr>
        <w:t>Vi har gjort et utvalg</w:t>
      </w:r>
      <w:r w:rsidR="001634C5">
        <w:rPr>
          <w:rStyle w:val="Fotnotereferanse"/>
          <w:lang w:val="nb-NO"/>
        </w:rPr>
        <w:footnoteReference w:id="2"/>
      </w:r>
      <w:r>
        <w:rPr>
          <w:lang w:val="nb-NO"/>
        </w:rPr>
        <w:t xml:space="preserve"> av indikatorer, og d</w:t>
      </w:r>
      <w:r w:rsidR="00610F8F">
        <w:rPr>
          <w:lang w:val="nb-NO"/>
        </w:rPr>
        <w:t xml:space="preserve">en </w:t>
      </w:r>
      <w:r w:rsidR="00D75398" w:rsidRPr="009244DF">
        <w:rPr>
          <w:i/>
          <w:iCs/>
          <w:lang w:val="nb-NO"/>
        </w:rPr>
        <w:t>sosioøkonomiske profilen</w:t>
      </w:r>
      <w:r w:rsidR="00D75398">
        <w:rPr>
          <w:lang w:val="nb-NO"/>
        </w:rPr>
        <w:t xml:space="preserve"> </w:t>
      </w:r>
      <w:r w:rsidR="00610F8F">
        <w:rPr>
          <w:lang w:val="nb-NO"/>
        </w:rPr>
        <w:t xml:space="preserve">for de to sonene </w:t>
      </w:r>
      <w:r w:rsidR="009244DF">
        <w:rPr>
          <w:lang w:val="nb-NO"/>
        </w:rPr>
        <w:t xml:space="preserve">blir da </w:t>
      </w:r>
      <w:r w:rsidR="00D75398">
        <w:rPr>
          <w:lang w:val="nb-NO"/>
        </w:rPr>
        <w:t>slik:</w:t>
      </w:r>
      <w:r w:rsidR="002E03C7" w:rsidRPr="002E03C7">
        <w:rPr>
          <w:noProof/>
          <w:lang w:val="nb-NO"/>
        </w:rPr>
        <w:t xml:space="preserve"> </w:t>
      </w:r>
    </w:p>
    <w:p w14:paraId="03E5957D" w14:textId="68966DBB" w:rsidR="00AF19A3" w:rsidRPr="00A34BC5" w:rsidRDefault="009244DF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81792" behindDoc="1" locked="0" layoutInCell="1" allowOverlap="1" wp14:anchorId="7E15BC2B" wp14:editId="6DFC831C">
            <wp:simplePos x="0" y="0"/>
            <wp:positionH relativeFrom="margin">
              <wp:align>left</wp:align>
            </wp:positionH>
            <wp:positionV relativeFrom="paragraph">
              <wp:posOffset>13725</wp:posOffset>
            </wp:positionV>
            <wp:extent cx="2414905" cy="1881505"/>
            <wp:effectExtent l="0" t="0" r="4445" b="4445"/>
            <wp:wrapTight wrapText="bothSides">
              <wp:wrapPolygon edited="0">
                <wp:start x="0" y="0"/>
                <wp:lineTo x="0" y="21432"/>
                <wp:lineTo x="21469" y="21432"/>
                <wp:lineTo x="21469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1F4">
        <w:rPr>
          <w:noProof/>
          <w:lang w:val="nb-NO"/>
        </w:rPr>
        <w:drawing>
          <wp:inline distT="0" distB="0" distL="0" distR="0" wp14:anchorId="167C2A42" wp14:editId="346DE225">
            <wp:extent cx="2444262" cy="1904888"/>
            <wp:effectExtent l="0" t="0" r="0" b="63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34" cy="1917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E8A340" w14:textId="0C82ECC9" w:rsidR="009244DF" w:rsidRPr="00012202" w:rsidRDefault="00012202">
      <w:pPr>
        <w:rPr>
          <w:lang w:val="nb-NO"/>
        </w:rPr>
      </w:pPr>
      <w:r w:rsidRPr="00012202">
        <w:rPr>
          <w:lang w:val="nb-NO"/>
        </w:rPr>
        <w:t xml:space="preserve">For </w:t>
      </w:r>
      <w:r>
        <w:rPr>
          <w:lang w:val="nb-NO"/>
        </w:rPr>
        <w:t>Justvik/Ålefjær eksl. Jærnesheia</w:t>
      </w:r>
      <w:r w:rsidR="00112D87">
        <w:rPr>
          <w:lang w:val="nb-NO"/>
        </w:rPr>
        <w:t xml:space="preserve"> </w:t>
      </w:r>
      <w:r w:rsidR="00C313AA">
        <w:rPr>
          <w:lang w:val="nb-NO"/>
        </w:rPr>
        <w:t>s</w:t>
      </w:r>
      <w:r w:rsidR="00112D87">
        <w:rPr>
          <w:lang w:val="nb-NO"/>
        </w:rPr>
        <w:t>er vi skårer stort sett innenfor kommunesnittet</w:t>
      </w:r>
      <w:r w:rsidR="00AE743E">
        <w:rPr>
          <w:lang w:val="nb-NO"/>
        </w:rPr>
        <w:t>, altså gunstigere skåre</w:t>
      </w:r>
      <w:r w:rsidR="006F5021">
        <w:rPr>
          <w:lang w:val="nb-NO"/>
        </w:rPr>
        <w:t xml:space="preserve">. </w:t>
      </w:r>
      <w:r w:rsidR="002C015A">
        <w:rPr>
          <w:lang w:val="nb-NO"/>
        </w:rPr>
        <w:t>Det er nok Justneshalvøya som i stor grad bidrar til dette.</w:t>
      </w:r>
      <w:r w:rsidR="00CE5DCA">
        <w:rPr>
          <w:lang w:val="nb-NO"/>
        </w:rPr>
        <w:t xml:space="preserve"> Jærnesheia </w:t>
      </w:r>
      <w:r w:rsidR="003F5ECE">
        <w:rPr>
          <w:lang w:val="nb-NO"/>
        </w:rPr>
        <w:t xml:space="preserve">har en ganske sammensatt </w:t>
      </w:r>
      <w:r w:rsidR="00F0161D">
        <w:rPr>
          <w:lang w:val="nb-NO"/>
        </w:rPr>
        <w:t>profil</w:t>
      </w:r>
      <w:r w:rsidR="003F5ECE">
        <w:rPr>
          <w:lang w:val="nb-NO"/>
        </w:rPr>
        <w:t xml:space="preserve">: </w:t>
      </w:r>
      <w:r w:rsidR="00D721F3">
        <w:rPr>
          <w:lang w:val="nb-NO"/>
        </w:rPr>
        <w:t xml:space="preserve">Mer </w:t>
      </w:r>
      <w:r w:rsidR="00D721F3" w:rsidRPr="00E55351">
        <w:rPr>
          <w:i/>
          <w:iCs/>
          <w:lang w:val="nb-NO"/>
        </w:rPr>
        <w:t>lavutdannelse</w:t>
      </w:r>
      <w:r w:rsidR="00D721F3">
        <w:rPr>
          <w:lang w:val="nb-NO"/>
        </w:rPr>
        <w:t xml:space="preserve"> og </w:t>
      </w:r>
      <w:r w:rsidR="00D721F3" w:rsidRPr="00E55351">
        <w:rPr>
          <w:i/>
          <w:iCs/>
          <w:lang w:val="nb-NO"/>
        </w:rPr>
        <w:t>ikke oppnådd studiekompetanse 21-29 år</w:t>
      </w:r>
      <w:r w:rsidR="00E55351">
        <w:rPr>
          <w:lang w:val="nb-NO"/>
        </w:rPr>
        <w:t xml:space="preserve">, noe flere unge uføre, </w:t>
      </w:r>
      <w:r w:rsidR="00B13FBD">
        <w:rPr>
          <w:lang w:val="nb-NO"/>
        </w:rPr>
        <w:t>flere på arbeidsavklaring</w:t>
      </w:r>
      <w:r w:rsidR="00D55AE7">
        <w:rPr>
          <w:lang w:val="nb-NO"/>
        </w:rPr>
        <w:t>s</w:t>
      </w:r>
      <w:r w:rsidR="00B13FBD">
        <w:rPr>
          <w:lang w:val="nb-NO"/>
        </w:rPr>
        <w:t xml:space="preserve">penger og flere enslige forsørgere enn kommunesnittet. Eller har boområdet </w:t>
      </w:r>
      <w:r w:rsidR="00C53E9B">
        <w:rPr>
          <w:lang w:val="nb-NO"/>
        </w:rPr>
        <w:t>gunstig skåre på ledighet, utflytting og lavinntekt.</w:t>
      </w:r>
    </w:p>
    <w:p w14:paraId="73F7A570" w14:textId="522908EC" w:rsidR="007D2F6A" w:rsidRPr="00921662" w:rsidRDefault="00FC1BE4" w:rsidP="000E2218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lastRenderedPageBreak/>
        <w:t xml:space="preserve">Sosioøkonomisk indeks i </w:t>
      </w:r>
      <w:r w:rsidR="000E2218" w:rsidRPr="00921662">
        <w:rPr>
          <w:b/>
          <w:lang w:val="nb-NO"/>
        </w:rPr>
        <w:t>grunnskolen</w:t>
      </w:r>
    </w:p>
    <w:p w14:paraId="2A90C15A" w14:textId="3A2DDB5C" w:rsidR="00015967" w:rsidRDefault="005233DC" w:rsidP="000E2218">
      <w:pPr>
        <w:rPr>
          <w:lang w:val="nb-NO"/>
        </w:rPr>
      </w:pPr>
      <w:r w:rsidRPr="00865E30">
        <w:rPr>
          <w:iCs/>
          <w:lang w:val="nb-NO"/>
        </w:rPr>
        <w:t>For å fange opp ulik belastning i grunnskolen bruker vi følgende kriter</w:t>
      </w:r>
      <w:r w:rsidR="00865E30">
        <w:rPr>
          <w:iCs/>
          <w:lang w:val="nb-NO"/>
        </w:rPr>
        <w:t>i</w:t>
      </w:r>
      <w:r w:rsidRPr="00865E30">
        <w:rPr>
          <w:iCs/>
          <w:lang w:val="nb-NO"/>
        </w:rPr>
        <w:t>er</w:t>
      </w:r>
      <w:r w:rsidR="00865E30" w:rsidRPr="00865E30">
        <w:rPr>
          <w:iCs/>
          <w:lang w:val="nb-NO"/>
        </w:rPr>
        <w:t>:</w:t>
      </w:r>
      <w:r w:rsidR="00865E30">
        <w:rPr>
          <w:i/>
          <w:lang w:val="nb-NO"/>
        </w:rPr>
        <w:t xml:space="preserve"> </w:t>
      </w:r>
      <w:r w:rsidR="00193E06" w:rsidRPr="00533443">
        <w:rPr>
          <w:i/>
          <w:lang w:val="nb-NO"/>
        </w:rPr>
        <w:t>U</w:t>
      </w:r>
      <w:r w:rsidR="000E2218" w:rsidRPr="00533443">
        <w:rPr>
          <w:i/>
          <w:lang w:val="nb-NO"/>
        </w:rPr>
        <w:t xml:space="preserve">tflytting </w:t>
      </w:r>
      <w:r w:rsidR="00533443" w:rsidRPr="00533443">
        <w:rPr>
          <w:i/>
          <w:lang w:val="nb-NO"/>
        </w:rPr>
        <w:t>0-15 år</w:t>
      </w:r>
      <w:r w:rsidR="00533443">
        <w:rPr>
          <w:lang w:val="nb-NO"/>
        </w:rPr>
        <w:t xml:space="preserve"> </w:t>
      </w:r>
      <w:r w:rsidR="000E2218">
        <w:rPr>
          <w:lang w:val="nb-NO"/>
        </w:rPr>
        <w:t xml:space="preserve">er vektet forholdsvis beskjedent i </w:t>
      </w:r>
      <w:r w:rsidR="00CB025C">
        <w:rPr>
          <w:lang w:val="nb-NO"/>
        </w:rPr>
        <w:t>indeks</w:t>
      </w:r>
      <w:r w:rsidR="00533443">
        <w:rPr>
          <w:lang w:val="nb-NO"/>
        </w:rPr>
        <w:t>e</w:t>
      </w:r>
      <w:r w:rsidR="00CB025C">
        <w:rPr>
          <w:lang w:val="nb-NO"/>
        </w:rPr>
        <w:t>n for belastning i skolen</w:t>
      </w:r>
      <w:r w:rsidR="00CE7412">
        <w:rPr>
          <w:lang w:val="nb-NO"/>
        </w:rPr>
        <w:t>.</w:t>
      </w:r>
      <w:r w:rsidR="00CB025C">
        <w:rPr>
          <w:lang w:val="nb-NO"/>
        </w:rPr>
        <w:t xml:space="preserve"> </w:t>
      </w:r>
      <w:r w:rsidR="00A521C0" w:rsidRPr="00A521C0">
        <w:rPr>
          <w:i/>
          <w:iCs/>
          <w:lang w:val="nb-NO"/>
        </w:rPr>
        <w:t>F</w:t>
      </w:r>
      <w:r w:rsidR="00CB025C" w:rsidRPr="00533443">
        <w:rPr>
          <w:i/>
          <w:lang w:val="nb-NO"/>
        </w:rPr>
        <w:t>amiliestruktur</w:t>
      </w:r>
      <w:r w:rsidR="001C6DCA">
        <w:rPr>
          <w:lang w:val="nb-NO"/>
        </w:rPr>
        <w:t xml:space="preserve"> </w:t>
      </w:r>
      <w:r w:rsidR="00DB1849">
        <w:rPr>
          <w:lang w:val="nb-NO"/>
        </w:rPr>
        <w:t xml:space="preserve">(barn av enslige forsørgere) </w:t>
      </w:r>
      <w:r w:rsidR="001C6DCA">
        <w:rPr>
          <w:lang w:val="nb-NO"/>
        </w:rPr>
        <w:t xml:space="preserve">og særlig </w:t>
      </w:r>
      <w:r w:rsidR="001C6DCA" w:rsidRPr="00533443">
        <w:rPr>
          <w:i/>
          <w:lang w:val="nb-NO"/>
        </w:rPr>
        <w:t>utdannelse bak hvert barn</w:t>
      </w:r>
      <w:r w:rsidR="001C6DCA">
        <w:rPr>
          <w:lang w:val="nb-NO"/>
        </w:rPr>
        <w:t xml:space="preserve"> er vektet betydelig mer</w:t>
      </w:r>
      <w:r w:rsidR="00865E30">
        <w:rPr>
          <w:lang w:val="nb-NO"/>
        </w:rPr>
        <w:t xml:space="preserve">. </w:t>
      </w:r>
      <w:r w:rsidR="002A4897">
        <w:rPr>
          <w:lang w:val="nb-NO"/>
        </w:rPr>
        <w:t>Utfra dette kriterie</w:t>
      </w:r>
      <w:r w:rsidR="002A4897" w:rsidRPr="00C62295">
        <w:rPr>
          <w:i/>
          <w:iCs/>
          <w:lang w:val="nb-NO"/>
        </w:rPr>
        <w:t>valget</w:t>
      </w:r>
      <w:r w:rsidR="002A4897">
        <w:rPr>
          <w:lang w:val="nb-NO"/>
        </w:rPr>
        <w:t xml:space="preserve"> konstruerer vi en samleindeks</w:t>
      </w:r>
      <w:r w:rsidR="00015967">
        <w:rPr>
          <w:lang w:val="nb-NO"/>
        </w:rPr>
        <w:t>, som utt</w:t>
      </w:r>
      <w:r w:rsidR="0078334D">
        <w:rPr>
          <w:lang w:val="nb-NO"/>
        </w:rPr>
        <w:t>r</w:t>
      </w:r>
      <w:r w:rsidR="00015967">
        <w:rPr>
          <w:lang w:val="nb-NO"/>
        </w:rPr>
        <w:t>ykker belastning i forhold til kommunes</w:t>
      </w:r>
      <w:r w:rsidR="006A2E7C">
        <w:rPr>
          <w:lang w:val="nb-NO"/>
        </w:rPr>
        <w:t>n</w:t>
      </w:r>
      <w:r w:rsidR="00015967">
        <w:rPr>
          <w:lang w:val="nb-NO"/>
        </w:rPr>
        <w:t>ittet</w:t>
      </w:r>
      <w:r w:rsidR="00581B13">
        <w:rPr>
          <w:lang w:val="nb-NO"/>
        </w:rPr>
        <w:t xml:space="preserve"> (som er 1,00)</w:t>
      </w:r>
      <w:r w:rsidR="00015967">
        <w:rPr>
          <w:lang w:val="nb-NO"/>
        </w:rPr>
        <w:t>.</w:t>
      </w:r>
      <w:r w:rsidR="007A217F">
        <w:rPr>
          <w:lang w:val="nb-NO"/>
        </w:rPr>
        <w:t xml:space="preserve"> Skolene i </w:t>
      </w:r>
      <w:r w:rsidR="00B87539">
        <w:rPr>
          <w:lang w:val="nb-NO"/>
        </w:rPr>
        <w:t>Justvik</w:t>
      </w:r>
      <w:r w:rsidR="007A217F">
        <w:rPr>
          <w:lang w:val="nb-NO"/>
        </w:rPr>
        <w:t xml:space="preserve"> kommer ut slik</w:t>
      </w:r>
      <w:r w:rsidR="00581B13">
        <w:rPr>
          <w:lang w:val="nb-NO"/>
        </w:rPr>
        <w:t>:</w:t>
      </w:r>
    </w:p>
    <w:tbl>
      <w:tblPr>
        <w:tblW w:w="2764" w:type="dxa"/>
        <w:tblLook w:val="04A0" w:firstRow="1" w:lastRow="0" w:firstColumn="1" w:lastColumn="0" w:noHBand="0" w:noVBand="1"/>
      </w:tblPr>
      <w:tblGrid>
        <w:gridCol w:w="1540"/>
        <w:gridCol w:w="24"/>
        <w:gridCol w:w="1176"/>
        <w:gridCol w:w="24"/>
      </w:tblGrid>
      <w:tr w:rsidR="003705DC" w:rsidRPr="00F1568E" w14:paraId="5309F205" w14:textId="77777777" w:rsidTr="008327DB">
        <w:trPr>
          <w:trHeight w:val="300"/>
        </w:trPr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79D9" w14:textId="77777777" w:rsidR="003705DC" w:rsidRPr="00F1568E" w:rsidRDefault="003705DC" w:rsidP="00F15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6DD2" w14:textId="2A8E310F" w:rsidR="003705DC" w:rsidRPr="00F1568E" w:rsidRDefault="00710487" w:rsidP="00F1568E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>1</w:t>
            </w:r>
            <w:r w:rsidR="003705DC"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-</w:t>
            </w:r>
            <w:r w:rsidR="00D84DFB">
              <w:rPr>
                <w:rFonts w:ascii="Calibri" w:eastAsia="Times New Roman" w:hAnsi="Calibri" w:cs="Calibri"/>
                <w:color w:val="000000"/>
                <w:lang w:val="nb-NO" w:eastAsia="no-NO"/>
              </w:rPr>
              <w:t>7</w:t>
            </w:r>
            <w:r w:rsidR="003705DC"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. tr</w:t>
            </w:r>
          </w:p>
        </w:tc>
      </w:tr>
      <w:tr w:rsidR="00613A93" w:rsidRPr="00F1568E" w14:paraId="17243821" w14:textId="77777777" w:rsidTr="008327DB">
        <w:trPr>
          <w:trHeight w:val="300"/>
        </w:trPr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E828" w14:textId="6C120525" w:rsidR="00613A93" w:rsidRPr="00F1568E" w:rsidRDefault="00613A93" w:rsidP="00613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o-NO"/>
              </w:rPr>
            </w:pPr>
            <w:r>
              <w:rPr>
                <w:rFonts w:ascii="MS Sans Serif" w:hAnsi="MS Sans Serif" w:cs="Calibri"/>
                <w:sz w:val="20"/>
                <w:szCs w:val="20"/>
              </w:rPr>
              <w:t>Justvik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FB0" w14:textId="13CB3E28" w:rsidR="00613A93" w:rsidRPr="00442E09" w:rsidRDefault="00613A93" w:rsidP="00613A93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</w:pPr>
            <w:r w:rsidRPr="00442E09">
              <w:rPr>
                <w:rFonts w:ascii="MS Sans Serif" w:hAnsi="MS Sans Serif" w:cs="Calibri"/>
                <w:b/>
                <w:bCs/>
                <w:i/>
                <w:iCs/>
                <w:color w:val="800080"/>
                <w:sz w:val="20"/>
                <w:szCs w:val="20"/>
              </w:rPr>
              <w:t>1,21</w:t>
            </w:r>
          </w:p>
        </w:tc>
      </w:tr>
      <w:tr w:rsidR="00F92BE0" w:rsidRPr="00F1568E" w14:paraId="55B4B00F" w14:textId="77777777" w:rsidTr="008327DB">
        <w:trPr>
          <w:trHeight w:val="300"/>
        </w:trPr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E296" w14:textId="723C2C61" w:rsidR="00F92BE0" w:rsidRPr="007A217F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o-N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67AB" w14:textId="7AEA407C" w:rsidR="00F92BE0" w:rsidRPr="00A155F5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val="nb-NO"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8-10. tr.</w:t>
            </w:r>
          </w:p>
        </w:tc>
      </w:tr>
      <w:tr w:rsidR="008327DB" w:rsidRPr="008327DB" w14:paraId="3A31A5F9" w14:textId="77777777" w:rsidTr="008327DB">
        <w:trPr>
          <w:gridAfter w:val="1"/>
          <w:wAfter w:w="24" w:type="dxa"/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2F9A" w14:textId="0C451890" w:rsidR="008327DB" w:rsidRPr="008327DB" w:rsidRDefault="008327DB" w:rsidP="008327DB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no-NO"/>
              </w:rPr>
            </w:pPr>
            <w:r w:rsidRPr="008327DB">
              <w:rPr>
                <w:rFonts w:ascii="MS Sans Serif" w:eastAsia="Times New Roman" w:hAnsi="MS Sans Serif" w:cs="Calibri"/>
                <w:sz w:val="20"/>
                <w:szCs w:val="20"/>
                <w:lang w:eastAsia="no-NO"/>
              </w:rPr>
              <w:t>Havlimyra</w:t>
            </w:r>
            <w:r w:rsidR="000C1974">
              <w:rPr>
                <w:rStyle w:val="Fotnotereferanse"/>
                <w:rFonts w:ascii="MS Sans Serif" w:eastAsia="Times New Roman" w:hAnsi="MS Sans Serif" w:cs="Calibri"/>
                <w:sz w:val="20"/>
                <w:szCs w:val="20"/>
                <w:lang w:eastAsia="no-NO"/>
              </w:rPr>
              <w:footnoteReference w:id="3"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E1EA" w14:textId="77777777" w:rsidR="008327DB" w:rsidRPr="008327DB" w:rsidRDefault="008327DB" w:rsidP="008327DB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</w:pPr>
            <w:r w:rsidRPr="008327DB"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  <w:t>0,67</w:t>
            </w:r>
          </w:p>
        </w:tc>
      </w:tr>
      <w:tr w:rsidR="00F92BE0" w:rsidRPr="00F1568E" w14:paraId="1BD5599B" w14:textId="77777777" w:rsidTr="008327DB">
        <w:trPr>
          <w:trHeight w:val="300"/>
        </w:trPr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2596" w14:textId="0FDCE98F" w:rsidR="00F92BE0" w:rsidRPr="00F1568E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C8C8" w14:textId="56798B2C" w:rsidR="00F92BE0" w:rsidRPr="00F1568E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</w:pPr>
          </w:p>
        </w:tc>
      </w:tr>
    </w:tbl>
    <w:p w14:paraId="39CCA4D1" w14:textId="21ED5235" w:rsidR="00015967" w:rsidRDefault="00121B58" w:rsidP="000E2218">
      <w:pPr>
        <w:rPr>
          <w:lang w:val="nb-NO"/>
        </w:rPr>
      </w:pPr>
      <w:r>
        <w:rPr>
          <w:lang w:val="nb-NO"/>
        </w:rPr>
        <w:t>Per Gunnar Uberg</w:t>
      </w:r>
    </w:p>
    <w:p w14:paraId="28776E22" w14:textId="55BD7B52" w:rsidR="00121B58" w:rsidRDefault="00EA560B" w:rsidP="00EA560B">
      <w:pPr>
        <w:rPr>
          <w:lang w:val="nb-NO"/>
        </w:rPr>
      </w:pPr>
      <w:r>
        <w:rPr>
          <w:lang w:val="nb-NO"/>
        </w:rPr>
        <w:t>16.11.2020</w:t>
      </w:r>
    </w:p>
    <w:sectPr w:rsidR="00121B58" w:rsidSect="00D52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534C" w14:textId="77777777" w:rsidR="00881CB3" w:rsidRDefault="00881CB3" w:rsidP="00EB12A2">
      <w:pPr>
        <w:spacing w:after="0" w:line="240" w:lineRule="auto"/>
      </w:pPr>
      <w:r>
        <w:separator/>
      </w:r>
    </w:p>
  </w:endnote>
  <w:endnote w:type="continuationSeparator" w:id="0">
    <w:p w14:paraId="03DD2059" w14:textId="77777777" w:rsidR="00881CB3" w:rsidRDefault="00881CB3" w:rsidP="00EB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7B395" w14:textId="77777777" w:rsidR="00881CB3" w:rsidRDefault="00881CB3" w:rsidP="00EB12A2">
      <w:pPr>
        <w:spacing w:after="0" w:line="240" w:lineRule="auto"/>
      </w:pPr>
      <w:r>
        <w:separator/>
      </w:r>
    </w:p>
  </w:footnote>
  <w:footnote w:type="continuationSeparator" w:id="0">
    <w:p w14:paraId="37EB806A" w14:textId="77777777" w:rsidR="00881CB3" w:rsidRDefault="00881CB3" w:rsidP="00EB12A2">
      <w:pPr>
        <w:spacing w:after="0" w:line="240" w:lineRule="auto"/>
      </w:pPr>
      <w:r>
        <w:continuationSeparator/>
      </w:r>
    </w:p>
  </w:footnote>
  <w:footnote w:id="1">
    <w:p w14:paraId="40E41B69" w14:textId="5A3CF9C0" w:rsidR="00EB12A2" w:rsidRPr="00EB12A2" w:rsidRDefault="00EB12A2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>
        <w:t xml:space="preserve"> </w:t>
      </w:r>
      <w:r w:rsidR="001E073D">
        <w:rPr>
          <w:lang w:val="nb-NO"/>
        </w:rPr>
        <w:t xml:space="preserve">For befolkningstallene er </w:t>
      </w:r>
      <w:r w:rsidR="00417302">
        <w:rPr>
          <w:lang w:val="nb-NO"/>
        </w:rPr>
        <w:t>J</w:t>
      </w:r>
      <w:r w:rsidR="001E073D">
        <w:rPr>
          <w:lang w:val="nb-NO"/>
        </w:rPr>
        <w:t xml:space="preserve">ustneshalvøya definert som </w:t>
      </w:r>
      <w:r w:rsidR="0033106D">
        <w:rPr>
          <w:lang w:val="nb-NO"/>
        </w:rPr>
        <w:t>området fra rundkjøringen ved riksveien og mot syd</w:t>
      </w:r>
      <w:r w:rsidR="001F62C1">
        <w:rPr>
          <w:lang w:val="nb-NO"/>
        </w:rPr>
        <w:t>, skiltet Justne</w:t>
      </w:r>
      <w:r w:rsidR="003B6499">
        <w:rPr>
          <w:lang w:val="nb-NO"/>
        </w:rPr>
        <w:t>sskauen</w:t>
      </w:r>
      <w:r w:rsidR="005A4079">
        <w:rPr>
          <w:lang w:val="nb-NO"/>
        </w:rPr>
        <w:t>. For bolig</w:t>
      </w:r>
      <w:r w:rsidR="0069550C">
        <w:rPr>
          <w:lang w:val="nb-NO"/>
        </w:rPr>
        <w:t>masse</w:t>
      </w:r>
      <w:r w:rsidR="005A4079">
        <w:rPr>
          <w:lang w:val="nb-NO"/>
        </w:rPr>
        <w:t xml:space="preserve"> har vi ikke data </w:t>
      </w:r>
      <w:r w:rsidR="00E15264">
        <w:rPr>
          <w:lang w:val="nb-NO"/>
        </w:rPr>
        <w:t>utfra</w:t>
      </w:r>
      <w:r w:rsidR="005A4079">
        <w:rPr>
          <w:lang w:val="nb-NO"/>
        </w:rPr>
        <w:t xml:space="preserve"> den siste, finere grunnkretsinndelingen, - og Kalvehagen og Dal</w:t>
      </w:r>
      <w:r w:rsidR="00C05479">
        <w:rPr>
          <w:lang w:val="nb-NO"/>
        </w:rPr>
        <w:t>sveien er derfor med her.</w:t>
      </w:r>
    </w:p>
  </w:footnote>
  <w:footnote w:id="2">
    <w:p w14:paraId="69D4A400" w14:textId="0610AE0B" w:rsidR="001634C5" w:rsidRPr="001634C5" w:rsidRDefault="001634C5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>
        <w:t xml:space="preserve"> </w:t>
      </w:r>
      <w:r w:rsidR="009F2B72">
        <w:rPr>
          <w:lang w:val="nb-NO"/>
        </w:rPr>
        <w:t xml:space="preserve">Indikatorene skulle stort sett være selvforklarende. </w:t>
      </w:r>
      <w:r w:rsidR="009F2B72" w:rsidRPr="00EA560B">
        <w:rPr>
          <w:i/>
          <w:iCs/>
          <w:lang w:val="nb-NO"/>
        </w:rPr>
        <w:t>Innvandrer</w:t>
      </w:r>
      <w:r w:rsidR="00DA53C4" w:rsidRPr="00EA560B">
        <w:rPr>
          <w:i/>
          <w:iCs/>
          <w:lang w:val="nb-NO"/>
        </w:rPr>
        <w:t>e B+C</w:t>
      </w:r>
      <w:r w:rsidR="00DA53C4">
        <w:rPr>
          <w:lang w:val="nb-NO"/>
        </w:rPr>
        <w:t xml:space="preserve"> betyr innvandrere pluss norskfødte der begge foreldrene er innvandrere.</w:t>
      </w:r>
      <w:r w:rsidR="009C0D4F">
        <w:rPr>
          <w:lang w:val="nb-NO"/>
        </w:rPr>
        <w:t xml:space="preserve"> </w:t>
      </w:r>
      <w:r w:rsidR="009C0D4F" w:rsidRPr="00EA560B">
        <w:rPr>
          <w:i/>
          <w:iCs/>
          <w:lang w:val="nb-NO"/>
        </w:rPr>
        <w:t>AAP</w:t>
      </w:r>
      <w:r w:rsidR="009C0D4F">
        <w:rPr>
          <w:lang w:val="nb-NO"/>
        </w:rPr>
        <w:t xml:space="preserve"> betyr arbeids</w:t>
      </w:r>
      <w:r w:rsidR="00CE5DCA">
        <w:rPr>
          <w:lang w:val="nb-NO"/>
        </w:rPr>
        <w:t>avklaringspenger.</w:t>
      </w:r>
    </w:p>
  </w:footnote>
  <w:footnote w:id="3">
    <w:p w14:paraId="51CC125F" w14:textId="540F6F4F" w:rsidR="000C1974" w:rsidRPr="000C1974" w:rsidRDefault="000C1974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>
        <w:t xml:space="preserve"> </w:t>
      </w:r>
      <w:r w:rsidR="004E54A5">
        <w:rPr>
          <w:lang w:val="nb-NO"/>
        </w:rPr>
        <w:t xml:space="preserve">Havlimyra </w:t>
      </w:r>
      <w:r w:rsidR="00E071DD">
        <w:rPr>
          <w:lang w:val="nb-NO"/>
        </w:rPr>
        <w:t>har et ne</w:t>
      </w:r>
      <w:r w:rsidR="006F2EAF">
        <w:rPr>
          <w:lang w:val="nb-NO"/>
        </w:rPr>
        <w:t>d</w:t>
      </w:r>
      <w:r w:rsidR="00E071DD">
        <w:rPr>
          <w:lang w:val="nb-NO"/>
        </w:rPr>
        <w:t>slagsfelt vesentlig større enn kun Justvik/Ålefjær</w:t>
      </w:r>
      <w:r w:rsidR="00D14FC3">
        <w:rPr>
          <w:lang w:val="nb-NO"/>
        </w:rPr>
        <w:t xml:space="preserve"> – (Kongsgård/Gimlekollen).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2189D"/>
    <w:multiLevelType w:val="hybridMultilevel"/>
    <w:tmpl w:val="EAEE55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35AE"/>
    <w:multiLevelType w:val="hybridMultilevel"/>
    <w:tmpl w:val="20D0384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A"/>
    <w:rsid w:val="0000174C"/>
    <w:rsid w:val="00004946"/>
    <w:rsid w:val="000105F2"/>
    <w:rsid w:val="00012202"/>
    <w:rsid w:val="00015967"/>
    <w:rsid w:val="00017293"/>
    <w:rsid w:val="00026AF9"/>
    <w:rsid w:val="00030F1B"/>
    <w:rsid w:val="0003155E"/>
    <w:rsid w:val="000406CC"/>
    <w:rsid w:val="00045F3D"/>
    <w:rsid w:val="00046296"/>
    <w:rsid w:val="000618CE"/>
    <w:rsid w:val="000725DA"/>
    <w:rsid w:val="00091AFC"/>
    <w:rsid w:val="00095DC1"/>
    <w:rsid w:val="00096D47"/>
    <w:rsid w:val="000A00A4"/>
    <w:rsid w:val="000A02B1"/>
    <w:rsid w:val="000A4DAF"/>
    <w:rsid w:val="000C0C82"/>
    <w:rsid w:val="000C0FB0"/>
    <w:rsid w:val="000C1974"/>
    <w:rsid w:val="000C1BC5"/>
    <w:rsid w:val="000C5991"/>
    <w:rsid w:val="000D1D3A"/>
    <w:rsid w:val="000D2674"/>
    <w:rsid w:val="000E2218"/>
    <w:rsid w:val="000E57E9"/>
    <w:rsid w:val="000F3BE4"/>
    <w:rsid w:val="000F6341"/>
    <w:rsid w:val="000F7D8D"/>
    <w:rsid w:val="00101A64"/>
    <w:rsid w:val="00105636"/>
    <w:rsid w:val="00112D87"/>
    <w:rsid w:val="00121B58"/>
    <w:rsid w:val="00126599"/>
    <w:rsid w:val="001272FF"/>
    <w:rsid w:val="00127574"/>
    <w:rsid w:val="00130463"/>
    <w:rsid w:val="00133058"/>
    <w:rsid w:val="00151A27"/>
    <w:rsid w:val="00152EE3"/>
    <w:rsid w:val="00162090"/>
    <w:rsid w:val="001620BA"/>
    <w:rsid w:val="001634C5"/>
    <w:rsid w:val="001741A7"/>
    <w:rsid w:val="001774EA"/>
    <w:rsid w:val="00180B81"/>
    <w:rsid w:val="00182724"/>
    <w:rsid w:val="00183E2F"/>
    <w:rsid w:val="00191C55"/>
    <w:rsid w:val="00193E06"/>
    <w:rsid w:val="00194BD6"/>
    <w:rsid w:val="00195BEF"/>
    <w:rsid w:val="001966E4"/>
    <w:rsid w:val="00197F3C"/>
    <w:rsid w:val="001A063A"/>
    <w:rsid w:val="001A0E8F"/>
    <w:rsid w:val="001A22A4"/>
    <w:rsid w:val="001B6A5D"/>
    <w:rsid w:val="001C2FAF"/>
    <w:rsid w:val="001C6DCA"/>
    <w:rsid w:val="001D448A"/>
    <w:rsid w:val="001D68D3"/>
    <w:rsid w:val="001D74A5"/>
    <w:rsid w:val="001E073D"/>
    <w:rsid w:val="001F0111"/>
    <w:rsid w:val="001F0AEE"/>
    <w:rsid w:val="001F119F"/>
    <w:rsid w:val="001F46F5"/>
    <w:rsid w:val="001F5056"/>
    <w:rsid w:val="001F62C1"/>
    <w:rsid w:val="00203387"/>
    <w:rsid w:val="00213521"/>
    <w:rsid w:val="00221B44"/>
    <w:rsid w:val="002346E6"/>
    <w:rsid w:val="0024375C"/>
    <w:rsid w:val="00245FBF"/>
    <w:rsid w:val="00253A6E"/>
    <w:rsid w:val="00253EFF"/>
    <w:rsid w:val="00254467"/>
    <w:rsid w:val="00254591"/>
    <w:rsid w:val="0025770C"/>
    <w:rsid w:val="00262B65"/>
    <w:rsid w:val="00264E55"/>
    <w:rsid w:val="00267AA6"/>
    <w:rsid w:val="0027006B"/>
    <w:rsid w:val="00274C3B"/>
    <w:rsid w:val="002952B0"/>
    <w:rsid w:val="00296519"/>
    <w:rsid w:val="002A4897"/>
    <w:rsid w:val="002B01D1"/>
    <w:rsid w:val="002B2C9A"/>
    <w:rsid w:val="002B3444"/>
    <w:rsid w:val="002C015A"/>
    <w:rsid w:val="002C37A5"/>
    <w:rsid w:val="002C5FB5"/>
    <w:rsid w:val="002C695A"/>
    <w:rsid w:val="002E03C7"/>
    <w:rsid w:val="002E1E4E"/>
    <w:rsid w:val="002E306A"/>
    <w:rsid w:val="002E462C"/>
    <w:rsid w:val="002F1D06"/>
    <w:rsid w:val="002F342F"/>
    <w:rsid w:val="002F6E0E"/>
    <w:rsid w:val="002F759C"/>
    <w:rsid w:val="00314038"/>
    <w:rsid w:val="003252C1"/>
    <w:rsid w:val="0033056A"/>
    <w:rsid w:val="00330BB9"/>
    <w:rsid w:val="0033106D"/>
    <w:rsid w:val="00336070"/>
    <w:rsid w:val="00337D8C"/>
    <w:rsid w:val="003400CE"/>
    <w:rsid w:val="00342E37"/>
    <w:rsid w:val="0034675E"/>
    <w:rsid w:val="00352858"/>
    <w:rsid w:val="00352DB2"/>
    <w:rsid w:val="003561AA"/>
    <w:rsid w:val="00364354"/>
    <w:rsid w:val="003705DC"/>
    <w:rsid w:val="00381E65"/>
    <w:rsid w:val="003835AF"/>
    <w:rsid w:val="00393505"/>
    <w:rsid w:val="003A0B0F"/>
    <w:rsid w:val="003A2E66"/>
    <w:rsid w:val="003A443B"/>
    <w:rsid w:val="003B0B53"/>
    <w:rsid w:val="003B0E93"/>
    <w:rsid w:val="003B2113"/>
    <w:rsid w:val="003B26B7"/>
    <w:rsid w:val="003B3294"/>
    <w:rsid w:val="003B6499"/>
    <w:rsid w:val="003B7662"/>
    <w:rsid w:val="003C55C0"/>
    <w:rsid w:val="003C6D49"/>
    <w:rsid w:val="003D1E4F"/>
    <w:rsid w:val="003F0A2C"/>
    <w:rsid w:val="003F2258"/>
    <w:rsid w:val="003F2BAB"/>
    <w:rsid w:val="003F4190"/>
    <w:rsid w:val="003F5ECE"/>
    <w:rsid w:val="00401FBD"/>
    <w:rsid w:val="00402342"/>
    <w:rsid w:val="00402519"/>
    <w:rsid w:val="004038DA"/>
    <w:rsid w:val="00403EB8"/>
    <w:rsid w:val="0041076B"/>
    <w:rsid w:val="00413334"/>
    <w:rsid w:val="00415A1A"/>
    <w:rsid w:val="00417302"/>
    <w:rsid w:val="0042205E"/>
    <w:rsid w:val="00431C47"/>
    <w:rsid w:val="004340A4"/>
    <w:rsid w:val="00435022"/>
    <w:rsid w:val="00436EC8"/>
    <w:rsid w:val="00437692"/>
    <w:rsid w:val="00442E09"/>
    <w:rsid w:val="00443DCE"/>
    <w:rsid w:val="0045652A"/>
    <w:rsid w:val="00460A6B"/>
    <w:rsid w:val="0047596A"/>
    <w:rsid w:val="00482730"/>
    <w:rsid w:val="00485921"/>
    <w:rsid w:val="00487AC6"/>
    <w:rsid w:val="00491AE4"/>
    <w:rsid w:val="00494817"/>
    <w:rsid w:val="004A3C0B"/>
    <w:rsid w:val="004A63F5"/>
    <w:rsid w:val="004B2593"/>
    <w:rsid w:val="004B5004"/>
    <w:rsid w:val="004B565C"/>
    <w:rsid w:val="004B77B2"/>
    <w:rsid w:val="004C0779"/>
    <w:rsid w:val="004C23E5"/>
    <w:rsid w:val="004C2AEC"/>
    <w:rsid w:val="004C7445"/>
    <w:rsid w:val="004C7519"/>
    <w:rsid w:val="004D4B03"/>
    <w:rsid w:val="004D50F9"/>
    <w:rsid w:val="004D56C3"/>
    <w:rsid w:val="004D6957"/>
    <w:rsid w:val="004D6E25"/>
    <w:rsid w:val="004E075C"/>
    <w:rsid w:val="004E2316"/>
    <w:rsid w:val="004E36FF"/>
    <w:rsid w:val="004E54A5"/>
    <w:rsid w:val="005233DC"/>
    <w:rsid w:val="00532BE2"/>
    <w:rsid w:val="00533443"/>
    <w:rsid w:val="005366DB"/>
    <w:rsid w:val="00543EBD"/>
    <w:rsid w:val="00552466"/>
    <w:rsid w:val="00552D02"/>
    <w:rsid w:val="0058045C"/>
    <w:rsid w:val="00581B13"/>
    <w:rsid w:val="00586C7F"/>
    <w:rsid w:val="00587F3D"/>
    <w:rsid w:val="0059417C"/>
    <w:rsid w:val="00594D92"/>
    <w:rsid w:val="005A27A0"/>
    <w:rsid w:val="005A4079"/>
    <w:rsid w:val="005A4695"/>
    <w:rsid w:val="005A729A"/>
    <w:rsid w:val="005B118F"/>
    <w:rsid w:val="005B1C22"/>
    <w:rsid w:val="005C0D8F"/>
    <w:rsid w:val="005C35DA"/>
    <w:rsid w:val="005C5876"/>
    <w:rsid w:val="005D071D"/>
    <w:rsid w:val="005D3071"/>
    <w:rsid w:val="005D35CC"/>
    <w:rsid w:val="005E1CFA"/>
    <w:rsid w:val="005F2872"/>
    <w:rsid w:val="005F37EB"/>
    <w:rsid w:val="005F3964"/>
    <w:rsid w:val="00604446"/>
    <w:rsid w:val="0060467B"/>
    <w:rsid w:val="00605200"/>
    <w:rsid w:val="0060634A"/>
    <w:rsid w:val="006068B1"/>
    <w:rsid w:val="00610F8F"/>
    <w:rsid w:val="006127C7"/>
    <w:rsid w:val="00613A93"/>
    <w:rsid w:val="00616D10"/>
    <w:rsid w:val="006205D2"/>
    <w:rsid w:val="006213F7"/>
    <w:rsid w:val="00622C1D"/>
    <w:rsid w:val="00626BE5"/>
    <w:rsid w:val="00627AFC"/>
    <w:rsid w:val="00634B81"/>
    <w:rsid w:val="00637AF2"/>
    <w:rsid w:val="00642746"/>
    <w:rsid w:val="00643BEE"/>
    <w:rsid w:val="00647ED8"/>
    <w:rsid w:val="006527FB"/>
    <w:rsid w:val="00663375"/>
    <w:rsid w:val="0067146D"/>
    <w:rsid w:val="00671B98"/>
    <w:rsid w:val="0068322F"/>
    <w:rsid w:val="006851B7"/>
    <w:rsid w:val="006901D5"/>
    <w:rsid w:val="00692C00"/>
    <w:rsid w:val="0069550C"/>
    <w:rsid w:val="0069589B"/>
    <w:rsid w:val="006A2A3E"/>
    <w:rsid w:val="006A2E7C"/>
    <w:rsid w:val="006A32E7"/>
    <w:rsid w:val="006A7701"/>
    <w:rsid w:val="006B5D31"/>
    <w:rsid w:val="006C1F57"/>
    <w:rsid w:val="006C7719"/>
    <w:rsid w:val="006C78C0"/>
    <w:rsid w:val="006D1F3C"/>
    <w:rsid w:val="006D299F"/>
    <w:rsid w:val="006D2A39"/>
    <w:rsid w:val="006D3631"/>
    <w:rsid w:val="006E0FD5"/>
    <w:rsid w:val="006E37C1"/>
    <w:rsid w:val="006F2EAF"/>
    <w:rsid w:val="006F3B3C"/>
    <w:rsid w:val="006F5021"/>
    <w:rsid w:val="00706076"/>
    <w:rsid w:val="00707F24"/>
    <w:rsid w:val="00710487"/>
    <w:rsid w:val="00723AAD"/>
    <w:rsid w:val="00735178"/>
    <w:rsid w:val="0073673F"/>
    <w:rsid w:val="00737570"/>
    <w:rsid w:val="007429E2"/>
    <w:rsid w:val="00743B91"/>
    <w:rsid w:val="007566B8"/>
    <w:rsid w:val="00763800"/>
    <w:rsid w:val="007646F4"/>
    <w:rsid w:val="00766348"/>
    <w:rsid w:val="00771162"/>
    <w:rsid w:val="00772004"/>
    <w:rsid w:val="007750B9"/>
    <w:rsid w:val="007773B8"/>
    <w:rsid w:val="0078334D"/>
    <w:rsid w:val="00783A30"/>
    <w:rsid w:val="007845C1"/>
    <w:rsid w:val="00790B56"/>
    <w:rsid w:val="007A2136"/>
    <w:rsid w:val="007A217F"/>
    <w:rsid w:val="007A7395"/>
    <w:rsid w:val="007B0344"/>
    <w:rsid w:val="007C2B76"/>
    <w:rsid w:val="007C3123"/>
    <w:rsid w:val="007C3231"/>
    <w:rsid w:val="007C3B22"/>
    <w:rsid w:val="007C608A"/>
    <w:rsid w:val="007C6758"/>
    <w:rsid w:val="007C7BE4"/>
    <w:rsid w:val="007D2F6A"/>
    <w:rsid w:val="007E5F76"/>
    <w:rsid w:val="007F0986"/>
    <w:rsid w:val="007F1527"/>
    <w:rsid w:val="00804BEF"/>
    <w:rsid w:val="00805BE3"/>
    <w:rsid w:val="008067BA"/>
    <w:rsid w:val="00815074"/>
    <w:rsid w:val="00825F0D"/>
    <w:rsid w:val="008327DB"/>
    <w:rsid w:val="008410ED"/>
    <w:rsid w:val="00841DFF"/>
    <w:rsid w:val="00846DF1"/>
    <w:rsid w:val="008652A5"/>
    <w:rsid w:val="0086537F"/>
    <w:rsid w:val="00865E30"/>
    <w:rsid w:val="00870797"/>
    <w:rsid w:val="00881CB3"/>
    <w:rsid w:val="00881FC4"/>
    <w:rsid w:val="008834ED"/>
    <w:rsid w:val="00897E0D"/>
    <w:rsid w:val="008A00B0"/>
    <w:rsid w:val="008A6EF9"/>
    <w:rsid w:val="008B48EF"/>
    <w:rsid w:val="008C480E"/>
    <w:rsid w:val="008C60AD"/>
    <w:rsid w:val="008C7521"/>
    <w:rsid w:val="008D6CA6"/>
    <w:rsid w:val="008E295C"/>
    <w:rsid w:val="008E59F6"/>
    <w:rsid w:val="008E6F70"/>
    <w:rsid w:val="008E720E"/>
    <w:rsid w:val="008F7DF2"/>
    <w:rsid w:val="00901579"/>
    <w:rsid w:val="0090192C"/>
    <w:rsid w:val="00905F7A"/>
    <w:rsid w:val="00915771"/>
    <w:rsid w:val="00916916"/>
    <w:rsid w:val="00921662"/>
    <w:rsid w:val="009238FD"/>
    <w:rsid w:val="009244DF"/>
    <w:rsid w:val="00926AF1"/>
    <w:rsid w:val="00932AC4"/>
    <w:rsid w:val="00932B02"/>
    <w:rsid w:val="009347A0"/>
    <w:rsid w:val="00935639"/>
    <w:rsid w:val="00936CB0"/>
    <w:rsid w:val="009379FD"/>
    <w:rsid w:val="00937BAE"/>
    <w:rsid w:val="00941472"/>
    <w:rsid w:val="00942C21"/>
    <w:rsid w:val="009478DC"/>
    <w:rsid w:val="00953B4C"/>
    <w:rsid w:val="00956337"/>
    <w:rsid w:val="00974A23"/>
    <w:rsid w:val="009757D4"/>
    <w:rsid w:val="00993EE4"/>
    <w:rsid w:val="00997B42"/>
    <w:rsid w:val="009A081F"/>
    <w:rsid w:val="009A7601"/>
    <w:rsid w:val="009B0464"/>
    <w:rsid w:val="009B129A"/>
    <w:rsid w:val="009C0570"/>
    <w:rsid w:val="009C0682"/>
    <w:rsid w:val="009C0D4F"/>
    <w:rsid w:val="009C4379"/>
    <w:rsid w:val="009C4E86"/>
    <w:rsid w:val="009D3C34"/>
    <w:rsid w:val="009D53E8"/>
    <w:rsid w:val="009D55F7"/>
    <w:rsid w:val="009D5C08"/>
    <w:rsid w:val="009D5FBC"/>
    <w:rsid w:val="009D7202"/>
    <w:rsid w:val="009E3C1C"/>
    <w:rsid w:val="009F170A"/>
    <w:rsid w:val="009F2B72"/>
    <w:rsid w:val="009F4EDD"/>
    <w:rsid w:val="009F77DF"/>
    <w:rsid w:val="00A014FF"/>
    <w:rsid w:val="00A02E09"/>
    <w:rsid w:val="00A10B4E"/>
    <w:rsid w:val="00A15120"/>
    <w:rsid w:val="00A155F5"/>
    <w:rsid w:val="00A21E09"/>
    <w:rsid w:val="00A22696"/>
    <w:rsid w:val="00A254C5"/>
    <w:rsid w:val="00A272F3"/>
    <w:rsid w:val="00A34BC5"/>
    <w:rsid w:val="00A37561"/>
    <w:rsid w:val="00A4060E"/>
    <w:rsid w:val="00A4272C"/>
    <w:rsid w:val="00A44D1B"/>
    <w:rsid w:val="00A518D2"/>
    <w:rsid w:val="00A521C0"/>
    <w:rsid w:val="00A54E1E"/>
    <w:rsid w:val="00A614C5"/>
    <w:rsid w:val="00A73B9F"/>
    <w:rsid w:val="00A74907"/>
    <w:rsid w:val="00A7726F"/>
    <w:rsid w:val="00A84938"/>
    <w:rsid w:val="00AA08D1"/>
    <w:rsid w:val="00AA2327"/>
    <w:rsid w:val="00AB1F22"/>
    <w:rsid w:val="00AE0756"/>
    <w:rsid w:val="00AE4C7D"/>
    <w:rsid w:val="00AE6B73"/>
    <w:rsid w:val="00AE70CB"/>
    <w:rsid w:val="00AE743E"/>
    <w:rsid w:val="00AE7BA3"/>
    <w:rsid w:val="00AF19A3"/>
    <w:rsid w:val="00AF432F"/>
    <w:rsid w:val="00B015D2"/>
    <w:rsid w:val="00B10BBD"/>
    <w:rsid w:val="00B13FBD"/>
    <w:rsid w:val="00B17C5B"/>
    <w:rsid w:val="00B228B3"/>
    <w:rsid w:val="00B232BE"/>
    <w:rsid w:val="00B2396B"/>
    <w:rsid w:val="00B26CF7"/>
    <w:rsid w:val="00B277A5"/>
    <w:rsid w:val="00B3247E"/>
    <w:rsid w:val="00B35A77"/>
    <w:rsid w:val="00B35DA8"/>
    <w:rsid w:val="00B379DA"/>
    <w:rsid w:val="00B408A0"/>
    <w:rsid w:val="00B434FE"/>
    <w:rsid w:val="00B44853"/>
    <w:rsid w:val="00B4573D"/>
    <w:rsid w:val="00B527C1"/>
    <w:rsid w:val="00B5479D"/>
    <w:rsid w:val="00B54BAF"/>
    <w:rsid w:val="00B6054F"/>
    <w:rsid w:val="00B63353"/>
    <w:rsid w:val="00B65292"/>
    <w:rsid w:val="00B7128F"/>
    <w:rsid w:val="00B87539"/>
    <w:rsid w:val="00B91C5D"/>
    <w:rsid w:val="00B938D7"/>
    <w:rsid w:val="00B97016"/>
    <w:rsid w:val="00BA3EF6"/>
    <w:rsid w:val="00BA719E"/>
    <w:rsid w:val="00BA7444"/>
    <w:rsid w:val="00BA7D3A"/>
    <w:rsid w:val="00BB28C4"/>
    <w:rsid w:val="00BB4A3E"/>
    <w:rsid w:val="00BD2F1D"/>
    <w:rsid w:val="00BD3AA9"/>
    <w:rsid w:val="00BD4DE1"/>
    <w:rsid w:val="00BD5771"/>
    <w:rsid w:val="00BD7979"/>
    <w:rsid w:val="00BD7CA6"/>
    <w:rsid w:val="00BE1235"/>
    <w:rsid w:val="00BE30DC"/>
    <w:rsid w:val="00BF0A02"/>
    <w:rsid w:val="00C05479"/>
    <w:rsid w:val="00C07F5A"/>
    <w:rsid w:val="00C119E8"/>
    <w:rsid w:val="00C13628"/>
    <w:rsid w:val="00C16254"/>
    <w:rsid w:val="00C30D54"/>
    <w:rsid w:val="00C313AA"/>
    <w:rsid w:val="00C40F3D"/>
    <w:rsid w:val="00C445DF"/>
    <w:rsid w:val="00C4548D"/>
    <w:rsid w:val="00C5163C"/>
    <w:rsid w:val="00C51CAB"/>
    <w:rsid w:val="00C53E9B"/>
    <w:rsid w:val="00C54006"/>
    <w:rsid w:val="00C603EC"/>
    <w:rsid w:val="00C60645"/>
    <w:rsid w:val="00C60C49"/>
    <w:rsid w:val="00C62295"/>
    <w:rsid w:val="00C669EA"/>
    <w:rsid w:val="00C7275B"/>
    <w:rsid w:val="00C7580B"/>
    <w:rsid w:val="00C8069A"/>
    <w:rsid w:val="00C80AF9"/>
    <w:rsid w:val="00C8449E"/>
    <w:rsid w:val="00C90080"/>
    <w:rsid w:val="00C94EDB"/>
    <w:rsid w:val="00C96192"/>
    <w:rsid w:val="00C963BF"/>
    <w:rsid w:val="00CB025C"/>
    <w:rsid w:val="00CB0308"/>
    <w:rsid w:val="00CB5BF2"/>
    <w:rsid w:val="00CB609A"/>
    <w:rsid w:val="00CC0C26"/>
    <w:rsid w:val="00CD52B3"/>
    <w:rsid w:val="00CE1F02"/>
    <w:rsid w:val="00CE3195"/>
    <w:rsid w:val="00CE3C91"/>
    <w:rsid w:val="00CE420D"/>
    <w:rsid w:val="00CE46A0"/>
    <w:rsid w:val="00CE5DCA"/>
    <w:rsid w:val="00CE7412"/>
    <w:rsid w:val="00D017CD"/>
    <w:rsid w:val="00D03F0E"/>
    <w:rsid w:val="00D046BE"/>
    <w:rsid w:val="00D0542E"/>
    <w:rsid w:val="00D12CF9"/>
    <w:rsid w:val="00D1387F"/>
    <w:rsid w:val="00D14FC3"/>
    <w:rsid w:val="00D32141"/>
    <w:rsid w:val="00D36203"/>
    <w:rsid w:val="00D36C76"/>
    <w:rsid w:val="00D41BB3"/>
    <w:rsid w:val="00D473CE"/>
    <w:rsid w:val="00D50C98"/>
    <w:rsid w:val="00D517B5"/>
    <w:rsid w:val="00D527F9"/>
    <w:rsid w:val="00D55AE7"/>
    <w:rsid w:val="00D65F29"/>
    <w:rsid w:val="00D66E1C"/>
    <w:rsid w:val="00D70B48"/>
    <w:rsid w:val="00D721F3"/>
    <w:rsid w:val="00D75398"/>
    <w:rsid w:val="00D76FB9"/>
    <w:rsid w:val="00D83ACD"/>
    <w:rsid w:val="00D84DFB"/>
    <w:rsid w:val="00D94912"/>
    <w:rsid w:val="00DA53C4"/>
    <w:rsid w:val="00DA5C39"/>
    <w:rsid w:val="00DB1849"/>
    <w:rsid w:val="00DB2E5F"/>
    <w:rsid w:val="00DC7781"/>
    <w:rsid w:val="00DD2468"/>
    <w:rsid w:val="00DD7CF7"/>
    <w:rsid w:val="00DE3013"/>
    <w:rsid w:val="00DE575B"/>
    <w:rsid w:val="00DE6665"/>
    <w:rsid w:val="00DF55F4"/>
    <w:rsid w:val="00E046FE"/>
    <w:rsid w:val="00E04E29"/>
    <w:rsid w:val="00E068B0"/>
    <w:rsid w:val="00E071DD"/>
    <w:rsid w:val="00E13D2E"/>
    <w:rsid w:val="00E1434F"/>
    <w:rsid w:val="00E146F1"/>
    <w:rsid w:val="00E14964"/>
    <w:rsid w:val="00E15264"/>
    <w:rsid w:val="00E17E41"/>
    <w:rsid w:val="00E231E0"/>
    <w:rsid w:val="00E2584F"/>
    <w:rsid w:val="00E333DC"/>
    <w:rsid w:val="00E361F4"/>
    <w:rsid w:val="00E5129C"/>
    <w:rsid w:val="00E55351"/>
    <w:rsid w:val="00E565F2"/>
    <w:rsid w:val="00E61DAB"/>
    <w:rsid w:val="00E62865"/>
    <w:rsid w:val="00E63291"/>
    <w:rsid w:val="00E72880"/>
    <w:rsid w:val="00E81E98"/>
    <w:rsid w:val="00E83855"/>
    <w:rsid w:val="00E90CEF"/>
    <w:rsid w:val="00EA560B"/>
    <w:rsid w:val="00EB12A2"/>
    <w:rsid w:val="00EB54F0"/>
    <w:rsid w:val="00EB62AF"/>
    <w:rsid w:val="00EC66A5"/>
    <w:rsid w:val="00ED3856"/>
    <w:rsid w:val="00ED3C10"/>
    <w:rsid w:val="00ED5A7B"/>
    <w:rsid w:val="00ED74AC"/>
    <w:rsid w:val="00EE5C99"/>
    <w:rsid w:val="00EE69E0"/>
    <w:rsid w:val="00EE72CF"/>
    <w:rsid w:val="00EF3AF1"/>
    <w:rsid w:val="00EF4ABB"/>
    <w:rsid w:val="00EF5983"/>
    <w:rsid w:val="00EF5BA1"/>
    <w:rsid w:val="00F0161D"/>
    <w:rsid w:val="00F1343B"/>
    <w:rsid w:val="00F1568E"/>
    <w:rsid w:val="00F1646B"/>
    <w:rsid w:val="00F17539"/>
    <w:rsid w:val="00F22AC3"/>
    <w:rsid w:val="00F2411F"/>
    <w:rsid w:val="00F248D4"/>
    <w:rsid w:val="00F3303C"/>
    <w:rsid w:val="00F375AA"/>
    <w:rsid w:val="00F37F8C"/>
    <w:rsid w:val="00F46646"/>
    <w:rsid w:val="00F50B38"/>
    <w:rsid w:val="00F60680"/>
    <w:rsid w:val="00F64EA4"/>
    <w:rsid w:val="00F72A97"/>
    <w:rsid w:val="00F81BFD"/>
    <w:rsid w:val="00F83312"/>
    <w:rsid w:val="00F83985"/>
    <w:rsid w:val="00F90D3A"/>
    <w:rsid w:val="00F91BCE"/>
    <w:rsid w:val="00F92023"/>
    <w:rsid w:val="00F92BE0"/>
    <w:rsid w:val="00FA3D24"/>
    <w:rsid w:val="00FB07BA"/>
    <w:rsid w:val="00FB0A66"/>
    <w:rsid w:val="00FB41FE"/>
    <w:rsid w:val="00FB43C8"/>
    <w:rsid w:val="00FB6E9B"/>
    <w:rsid w:val="00FB70A5"/>
    <w:rsid w:val="00FB72CC"/>
    <w:rsid w:val="00FC00A2"/>
    <w:rsid w:val="00FC1BE4"/>
    <w:rsid w:val="00FC227E"/>
    <w:rsid w:val="00FC73BA"/>
    <w:rsid w:val="00FD12E4"/>
    <w:rsid w:val="00FD41DE"/>
    <w:rsid w:val="00FE10DD"/>
    <w:rsid w:val="00FE28F9"/>
    <w:rsid w:val="00FE4167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926F"/>
  <w15:chartTrackingRefBased/>
  <w15:docId w15:val="{96B88E83-51F5-4D2F-AAFB-310A83EC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2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0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46B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A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0B0F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EB12A2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B12A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B1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13" ma:contentTypeDescription="Opprett et nytt dokument." ma:contentTypeScope="" ma:versionID="6e766d4d0aea14fe4a8137dcf880251f">
  <xsd:schema xmlns:xsd="http://www.w3.org/2001/XMLSchema" xmlns:xs="http://www.w3.org/2001/XMLSchema" xmlns:p="http://schemas.microsoft.com/office/2006/metadata/properties" xmlns:ns3="85708b9b-2a25-4a29-9251-64f7041ca9fe" xmlns:ns4="3d88120d-6f9c-4f57-ae1e-c012a6ffa230" targetNamespace="http://schemas.microsoft.com/office/2006/metadata/properties" ma:root="true" ma:fieldsID="a22cfeca811cbf01432441524d71f085" ns3:_="" ns4:_="">
    <xsd:import namespace="85708b9b-2a25-4a29-9251-64f7041ca9fe"/>
    <xsd:import namespace="3d88120d-6f9c-4f57-ae1e-c012a6ff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120d-6f9c-4f57-ae1e-c012a6ff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DEEB-7150-437C-BBF6-5B47BBB23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EF2BB2-9BAC-4079-A8B0-24E1B7578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D4510-0B37-4AC8-AF7D-F83E78E44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3d88120d-6f9c-4f57-ae1e-c012a6ff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4311B-FC95-4672-BB13-39EBED6D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 Uberg</dc:creator>
  <cp:keywords/>
  <dc:description/>
  <cp:lastModifiedBy>Per Gunnar Uberg</cp:lastModifiedBy>
  <cp:revision>239</cp:revision>
  <cp:lastPrinted>2020-03-05T07:55:00Z</cp:lastPrinted>
  <dcterms:created xsi:type="dcterms:W3CDTF">2020-10-21T14:26:00Z</dcterms:created>
  <dcterms:modified xsi:type="dcterms:W3CDTF">2020-11-16T13:06:00Z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