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6859" w14:textId="77777777" w:rsidR="00DE6CA0" w:rsidRPr="00DE6CA0" w:rsidRDefault="005C3E7C" w:rsidP="00DE6CA0">
      <w:pPr>
        <w:rPr>
          <w:rStyle w:val="Overskrift1Tegn"/>
          <w:b/>
          <w:sz w:val="36"/>
          <w:szCs w:val="36"/>
          <w:lang w:val="nb-NO"/>
        </w:rPr>
      </w:pPr>
      <w:r w:rsidRPr="00DE6CA0">
        <w:rPr>
          <w:rStyle w:val="Overskrift1Tegn"/>
          <w:b/>
          <w:sz w:val="36"/>
          <w:szCs w:val="36"/>
          <w:lang w:val="nb-NO"/>
        </w:rPr>
        <w:t>Hellemyr</w:t>
      </w:r>
      <w:r w:rsidR="00D527F9" w:rsidRPr="00DE6CA0">
        <w:rPr>
          <w:rStyle w:val="Overskrift1Tegn"/>
          <w:b/>
          <w:sz w:val="36"/>
          <w:szCs w:val="36"/>
          <w:lang w:val="nb-NO"/>
        </w:rPr>
        <w:t xml:space="preserve"> </w:t>
      </w:r>
      <w:r w:rsidR="00B336ED" w:rsidRPr="00DE6CA0">
        <w:rPr>
          <w:rStyle w:val="Overskrift1Tegn"/>
          <w:b/>
          <w:sz w:val="36"/>
          <w:szCs w:val="36"/>
          <w:lang w:val="nb-NO"/>
        </w:rPr>
        <w:t>nøkkeltall og utfordringer</w:t>
      </w:r>
    </w:p>
    <w:p w14:paraId="37F8E4E3" w14:textId="11246C25" w:rsidR="00D527F9" w:rsidRPr="00F375AA" w:rsidRDefault="00636118" w:rsidP="00DE6CA0">
      <w:pPr>
        <w:pStyle w:val="Overskrift1"/>
        <w:rPr>
          <w:rStyle w:val="Overskrift1Tegn"/>
          <w:b/>
          <w:lang w:val="nb-NO"/>
        </w:rPr>
      </w:pPr>
      <w:r>
        <w:rPr>
          <w:rStyle w:val="Overskrift1Tegn"/>
          <w:b/>
          <w:lang w:val="nb-NO"/>
        </w:rPr>
        <w:t>D</w:t>
      </w:r>
      <w:r w:rsidR="00D527F9" w:rsidRPr="00F375AA">
        <w:rPr>
          <w:rStyle w:val="Overskrift1Tegn"/>
          <w:b/>
          <w:lang w:val="nb-NO"/>
        </w:rPr>
        <w:t>emografi</w:t>
      </w:r>
      <w:r w:rsidR="00E04E29">
        <w:rPr>
          <w:rStyle w:val="Overskrift1Tegn"/>
          <w:b/>
          <w:lang w:val="nb-NO"/>
        </w:rPr>
        <w:t xml:space="preserve"> </w:t>
      </w:r>
      <w:r w:rsidR="00BD5771">
        <w:rPr>
          <w:rStyle w:val="Overskrift1Tegn"/>
          <w:b/>
          <w:lang w:val="nb-NO"/>
        </w:rPr>
        <w:t>–</w:t>
      </w:r>
      <w:r w:rsidR="00E04E29">
        <w:rPr>
          <w:rStyle w:val="Overskrift1Tegn"/>
          <w:b/>
          <w:lang w:val="nb-NO"/>
        </w:rPr>
        <w:t xml:space="preserve"> </w:t>
      </w:r>
      <w:r>
        <w:rPr>
          <w:rStyle w:val="Overskrift1Tegn"/>
          <w:b/>
          <w:lang w:val="nb-NO"/>
        </w:rPr>
        <w:t>t</w:t>
      </w:r>
      <w:r w:rsidR="00A7726F">
        <w:rPr>
          <w:rStyle w:val="Overskrift1Tegn"/>
          <w:b/>
          <w:lang w:val="nb-NO"/>
        </w:rPr>
        <w:t xml:space="preserve">otalt </w:t>
      </w:r>
      <w:r w:rsidR="002102A6">
        <w:rPr>
          <w:rStyle w:val="Overskrift1Tegn"/>
          <w:b/>
          <w:lang w:val="nb-NO"/>
        </w:rPr>
        <w:t>3</w:t>
      </w:r>
      <w:r w:rsidR="002E306A">
        <w:rPr>
          <w:rStyle w:val="Overskrift1Tegn"/>
          <w:b/>
          <w:lang w:val="nb-NO"/>
        </w:rPr>
        <w:t>.</w:t>
      </w:r>
      <w:r w:rsidR="00A47B2D">
        <w:rPr>
          <w:rStyle w:val="Overskrift1Tegn"/>
          <w:b/>
          <w:lang w:val="nb-NO"/>
        </w:rPr>
        <w:t>946</w:t>
      </w:r>
      <w:r w:rsidR="002E306A">
        <w:rPr>
          <w:rStyle w:val="Overskrift1Tegn"/>
          <w:b/>
          <w:lang w:val="nb-NO"/>
        </w:rPr>
        <w:t xml:space="preserve"> innbyggere</w:t>
      </w:r>
    </w:p>
    <w:p w14:paraId="6271A51D" w14:textId="44E90CD3" w:rsidR="00D527F9" w:rsidRDefault="006C1F57" w:rsidP="006C1F57">
      <w:pPr>
        <w:rPr>
          <w:noProof/>
          <w:lang w:val="nb-NO"/>
        </w:rPr>
      </w:pPr>
      <w:r>
        <w:rPr>
          <w:noProof/>
          <w:lang w:val="nb-NO"/>
        </w:rPr>
        <w:t xml:space="preserve"> </w:t>
      </w:r>
      <w:r w:rsidR="00850A2B">
        <w:rPr>
          <w:noProof/>
          <w:lang w:val="nb-NO"/>
        </w:rPr>
        <w:drawing>
          <wp:inline distT="0" distB="0" distL="0" distR="0" wp14:anchorId="105D5647" wp14:editId="5EF05490">
            <wp:extent cx="6443980" cy="3005455"/>
            <wp:effectExtent l="0" t="0" r="0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7D02A" w14:textId="3AD4AB29" w:rsidR="009C0682" w:rsidRDefault="00983D37" w:rsidP="006C1F57">
      <w:pPr>
        <w:rPr>
          <w:noProof/>
          <w:lang w:val="nb-NO"/>
        </w:rPr>
      </w:pPr>
      <w:r>
        <w:rPr>
          <w:noProof/>
          <w:lang w:val="nb-NO"/>
        </w:rPr>
        <w:drawing>
          <wp:inline distT="0" distB="0" distL="0" distR="0" wp14:anchorId="7233C0B9" wp14:editId="2F74BC0C">
            <wp:extent cx="3005455" cy="2529840"/>
            <wp:effectExtent l="0" t="0" r="4445" b="381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484">
        <w:rPr>
          <w:noProof/>
          <w:lang w:val="nb-NO"/>
        </w:rPr>
        <w:drawing>
          <wp:inline distT="0" distB="0" distL="0" distR="0" wp14:anchorId="771751C8" wp14:editId="6123F0AB">
            <wp:extent cx="3011805" cy="2536190"/>
            <wp:effectExtent l="0" t="0" r="0" b="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0E19B" w14:textId="136BB034" w:rsidR="00B260F9" w:rsidRDefault="006C1F57" w:rsidP="006C1F57">
      <w:pPr>
        <w:rPr>
          <w:rFonts w:ascii="Arial" w:hAnsi="Arial" w:cs="Arial"/>
          <w:noProof/>
          <w:lang w:val="nb-NO"/>
        </w:rPr>
      </w:pPr>
      <w:r w:rsidRPr="006C1F57">
        <w:rPr>
          <w:rFonts w:ascii="Arial" w:hAnsi="Arial" w:cs="Arial"/>
          <w:noProof/>
          <w:lang w:val="nb-NO"/>
        </w:rPr>
        <w:t>Befolknings</w:t>
      </w:r>
      <w:r>
        <w:rPr>
          <w:rFonts w:ascii="Arial" w:hAnsi="Arial" w:cs="Arial"/>
          <w:noProof/>
          <w:lang w:val="nb-NO"/>
        </w:rPr>
        <w:t>-</w:t>
      </w:r>
      <w:r w:rsidRPr="006C1F57">
        <w:rPr>
          <w:rFonts w:ascii="Arial" w:hAnsi="Arial" w:cs="Arial"/>
          <w:i/>
          <w:noProof/>
          <w:lang w:val="nb-NO"/>
        </w:rPr>
        <w:t>sammensetningen</w:t>
      </w:r>
      <w:r w:rsidRPr="006C1F57">
        <w:rPr>
          <w:rFonts w:ascii="Arial" w:hAnsi="Arial" w:cs="Arial"/>
          <w:noProof/>
          <w:lang w:val="nb-NO"/>
        </w:rPr>
        <w:t xml:space="preserve"> ser vi i rød linje i radardiagrammet. Vi deler hver tiårsgruppes andel innen bydelen med den samme gruppens andel i hele nye Kristiansand. Dett gir en </w:t>
      </w:r>
      <w:r w:rsidRPr="007A7395">
        <w:rPr>
          <w:rFonts w:ascii="Arial" w:hAnsi="Arial" w:cs="Arial"/>
          <w:i/>
          <w:noProof/>
          <w:lang w:val="nb-NO"/>
        </w:rPr>
        <w:t>indeks</w:t>
      </w:r>
      <w:r w:rsidRPr="006C1F57">
        <w:rPr>
          <w:rFonts w:ascii="Arial" w:hAnsi="Arial" w:cs="Arial"/>
          <w:noProof/>
          <w:lang w:val="nb-NO"/>
        </w:rPr>
        <w:t xml:space="preserve"> som viser befolknings-</w:t>
      </w:r>
      <w:r w:rsidRPr="006C1F57">
        <w:rPr>
          <w:rFonts w:ascii="Arial" w:hAnsi="Arial" w:cs="Arial"/>
          <w:i/>
          <w:noProof/>
          <w:lang w:val="nb-NO"/>
        </w:rPr>
        <w:t>profilen</w:t>
      </w:r>
      <w:r w:rsidRPr="006C1F57">
        <w:rPr>
          <w:rFonts w:ascii="Arial" w:hAnsi="Arial" w:cs="Arial"/>
          <w:noProof/>
          <w:lang w:val="nb-NO"/>
        </w:rPr>
        <w:t xml:space="preserve">. </w:t>
      </w:r>
      <w:r>
        <w:rPr>
          <w:rFonts w:ascii="Arial" w:hAnsi="Arial" w:cs="Arial"/>
          <w:noProof/>
          <w:lang w:val="nb-NO"/>
        </w:rPr>
        <w:t xml:space="preserve">Vi ser at </w:t>
      </w:r>
      <w:r w:rsidR="00A47B2D">
        <w:rPr>
          <w:rFonts w:ascii="Arial" w:hAnsi="Arial" w:cs="Arial"/>
          <w:noProof/>
          <w:lang w:val="nb-NO"/>
        </w:rPr>
        <w:t>på Hellemyr</w:t>
      </w:r>
      <w:r w:rsidR="000C0C82">
        <w:rPr>
          <w:rFonts w:ascii="Arial" w:hAnsi="Arial" w:cs="Arial"/>
          <w:noProof/>
          <w:lang w:val="nb-NO"/>
        </w:rPr>
        <w:t xml:space="preserve"> er </w:t>
      </w:r>
      <w:r>
        <w:rPr>
          <w:rFonts w:ascii="Arial" w:hAnsi="Arial" w:cs="Arial"/>
          <w:noProof/>
          <w:lang w:val="nb-NO"/>
        </w:rPr>
        <w:t xml:space="preserve">innslaget av </w:t>
      </w:r>
      <w:r w:rsidR="006D3631">
        <w:rPr>
          <w:rFonts w:ascii="Arial" w:hAnsi="Arial" w:cs="Arial"/>
          <w:noProof/>
          <w:lang w:val="nb-NO"/>
        </w:rPr>
        <w:t xml:space="preserve">barn </w:t>
      </w:r>
      <w:r w:rsidR="00194BD6">
        <w:rPr>
          <w:rFonts w:ascii="Arial" w:hAnsi="Arial" w:cs="Arial"/>
          <w:noProof/>
          <w:lang w:val="nb-NO"/>
        </w:rPr>
        <w:t>0-9 og</w:t>
      </w:r>
      <w:r w:rsidR="006D3631">
        <w:rPr>
          <w:rFonts w:ascii="Arial" w:hAnsi="Arial" w:cs="Arial"/>
          <w:noProof/>
          <w:lang w:val="nb-NO"/>
        </w:rPr>
        <w:t>10-19 år og gruppen</w:t>
      </w:r>
      <w:r w:rsidR="00543EBD">
        <w:rPr>
          <w:rFonts w:ascii="Arial" w:hAnsi="Arial" w:cs="Arial"/>
          <w:noProof/>
          <w:lang w:val="nb-NO"/>
        </w:rPr>
        <w:t>e</w:t>
      </w:r>
      <w:r w:rsidR="006D3631">
        <w:rPr>
          <w:rFonts w:ascii="Arial" w:hAnsi="Arial" w:cs="Arial"/>
          <w:noProof/>
          <w:lang w:val="nb-NO"/>
        </w:rPr>
        <w:t xml:space="preserve"> </w:t>
      </w:r>
      <w:r w:rsidR="0088329D">
        <w:rPr>
          <w:rFonts w:ascii="Arial" w:hAnsi="Arial" w:cs="Arial"/>
          <w:noProof/>
          <w:lang w:val="nb-NO"/>
        </w:rPr>
        <w:t>markant</w:t>
      </w:r>
      <w:r w:rsidR="00342E37">
        <w:rPr>
          <w:rFonts w:ascii="Arial" w:hAnsi="Arial" w:cs="Arial"/>
          <w:noProof/>
          <w:lang w:val="nb-NO"/>
        </w:rPr>
        <w:t xml:space="preserve"> </w:t>
      </w:r>
      <w:r w:rsidR="00543EBD">
        <w:rPr>
          <w:rFonts w:ascii="Arial" w:hAnsi="Arial" w:cs="Arial"/>
          <w:noProof/>
          <w:lang w:val="nb-NO"/>
        </w:rPr>
        <w:t>større, og de to eldste gruppene</w:t>
      </w:r>
      <w:r w:rsidR="00AC4838">
        <w:rPr>
          <w:rFonts w:ascii="Arial" w:hAnsi="Arial" w:cs="Arial"/>
          <w:noProof/>
          <w:lang w:val="nb-NO"/>
        </w:rPr>
        <w:t xml:space="preserve"> er</w:t>
      </w:r>
      <w:r w:rsidR="00543EBD">
        <w:rPr>
          <w:rFonts w:ascii="Arial" w:hAnsi="Arial" w:cs="Arial"/>
          <w:noProof/>
          <w:lang w:val="nb-NO"/>
        </w:rPr>
        <w:t xml:space="preserve"> </w:t>
      </w:r>
      <w:r w:rsidR="0088329D">
        <w:rPr>
          <w:rFonts w:ascii="Arial" w:hAnsi="Arial" w:cs="Arial"/>
          <w:noProof/>
          <w:lang w:val="nb-NO"/>
        </w:rPr>
        <w:t>fra vesentlig mindre til næ</w:t>
      </w:r>
      <w:r w:rsidR="00AC4838">
        <w:rPr>
          <w:rFonts w:ascii="Arial" w:hAnsi="Arial" w:cs="Arial"/>
          <w:noProof/>
          <w:lang w:val="nb-NO"/>
        </w:rPr>
        <w:t>mest fraværende</w:t>
      </w:r>
      <w:r w:rsidR="0010008D">
        <w:rPr>
          <w:rFonts w:ascii="Arial" w:hAnsi="Arial" w:cs="Arial"/>
          <w:noProof/>
          <w:lang w:val="nb-NO"/>
        </w:rPr>
        <w:t xml:space="preserve"> (80</w:t>
      </w:r>
      <w:r w:rsidR="006E5826">
        <w:rPr>
          <w:rFonts w:ascii="Arial" w:hAnsi="Arial" w:cs="Arial"/>
          <w:noProof/>
          <w:lang w:val="nb-NO"/>
        </w:rPr>
        <w:t xml:space="preserve"> år+)</w:t>
      </w:r>
      <w:r w:rsidR="00AC4838">
        <w:rPr>
          <w:rFonts w:ascii="Arial" w:hAnsi="Arial" w:cs="Arial"/>
          <w:noProof/>
          <w:lang w:val="nb-NO"/>
        </w:rPr>
        <w:t xml:space="preserve"> </w:t>
      </w:r>
      <w:r w:rsidR="003817AA">
        <w:rPr>
          <w:rFonts w:ascii="Arial" w:hAnsi="Arial" w:cs="Arial"/>
          <w:noProof/>
          <w:lang w:val="nb-NO"/>
        </w:rPr>
        <w:t>sammenlignet med</w:t>
      </w:r>
      <w:r>
        <w:rPr>
          <w:rFonts w:ascii="Arial" w:hAnsi="Arial" w:cs="Arial"/>
          <w:noProof/>
          <w:lang w:val="nb-NO"/>
        </w:rPr>
        <w:t xml:space="preserve"> kommunensittet. </w:t>
      </w:r>
      <w:r w:rsidR="00722B99">
        <w:rPr>
          <w:rFonts w:ascii="Arial" w:hAnsi="Arial" w:cs="Arial"/>
          <w:noProof/>
          <w:lang w:val="nb-NO"/>
        </w:rPr>
        <w:t>Som kontrast har vi</w:t>
      </w:r>
      <w:r w:rsidR="00917513">
        <w:rPr>
          <w:rFonts w:ascii="Arial" w:hAnsi="Arial" w:cs="Arial"/>
          <w:noProof/>
          <w:lang w:val="nb-NO"/>
        </w:rPr>
        <w:t xml:space="preserve"> lagt inn Kvadraturne/Eg, som har en tilnærmet invertert befolkningssammensetning</w:t>
      </w:r>
      <w:r w:rsidR="00DD3C86">
        <w:rPr>
          <w:rFonts w:ascii="Arial" w:hAnsi="Arial" w:cs="Arial"/>
          <w:noProof/>
          <w:lang w:val="nb-NO"/>
        </w:rPr>
        <w:t xml:space="preserve"> sammenlignet med Hellemyr</w:t>
      </w:r>
      <w:r w:rsidR="00AB72D2">
        <w:rPr>
          <w:rFonts w:ascii="Arial" w:hAnsi="Arial" w:cs="Arial"/>
          <w:noProof/>
          <w:lang w:val="nb-NO"/>
        </w:rPr>
        <w:t xml:space="preserve">: stort eldre-innslag, og stort innslag av unge voksne, men de har </w:t>
      </w:r>
      <w:r w:rsidR="008D5E07">
        <w:rPr>
          <w:rFonts w:ascii="Arial" w:hAnsi="Arial" w:cs="Arial"/>
          <w:noProof/>
          <w:lang w:val="nb-NO"/>
        </w:rPr>
        <w:t xml:space="preserve">så å si ikke barn. </w:t>
      </w:r>
    </w:p>
    <w:p w14:paraId="41B07963" w14:textId="5BCA9FD3" w:rsidR="00F267BA" w:rsidRDefault="00F267BA" w:rsidP="006C1F57">
      <w:pPr>
        <w:rPr>
          <w:rFonts w:ascii="Arial" w:hAnsi="Arial" w:cs="Arial"/>
          <w:noProof/>
          <w:lang w:val="nb-NO"/>
        </w:rPr>
      </w:pPr>
      <w:r>
        <w:rPr>
          <w:rFonts w:ascii="Arial" w:hAnsi="Arial" w:cs="Arial"/>
          <w:noProof/>
          <w:lang w:val="nb-NO"/>
        </w:rPr>
        <w:t xml:space="preserve">Nå er Hellemyr en relativt ung bydel, slik at </w:t>
      </w:r>
      <w:r w:rsidR="002C448E">
        <w:rPr>
          <w:rFonts w:ascii="Arial" w:hAnsi="Arial" w:cs="Arial"/>
          <w:noProof/>
          <w:lang w:val="nb-NO"/>
        </w:rPr>
        <w:t xml:space="preserve">de unge etablererne </w:t>
      </w:r>
      <w:r w:rsidR="004B17EF">
        <w:rPr>
          <w:rFonts w:ascii="Arial" w:hAnsi="Arial" w:cs="Arial"/>
          <w:noProof/>
          <w:lang w:val="nb-NO"/>
        </w:rPr>
        <w:t>har ikke rukket å bli særlig gamle.</w:t>
      </w:r>
    </w:p>
    <w:p w14:paraId="6E5D1881" w14:textId="4708AF88" w:rsidR="00910A9A" w:rsidRDefault="007E7766" w:rsidP="006C1F57">
      <w:pPr>
        <w:rPr>
          <w:rFonts w:ascii="Arial" w:hAnsi="Arial" w:cs="Arial"/>
          <w:noProof/>
          <w:lang w:val="nb-NO"/>
        </w:rPr>
      </w:pPr>
      <w:r>
        <w:rPr>
          <w:rFonts w:ascii="Arial" w:hAnsi="Arial" w:cs="Arial"/>
          <w:noProof/>
          <w:lang w:val="nb-NO"/>
        </w:rPr>
        <w:t xml:space="preserve">I det følgende skal vi se litt </w:t>
      </w:r>
      <w:r w:rsidR="00E05518">
        <w:rPr>
          <w:rFonts w:ascii="Arial" w:hAnsi="Arial" w:cs="Arial"/>
          <w:noProof/>
          <w:lang w:val="nb-NO"/>
        </w:rPr>
        <w:t>nærmere på</w:t>
      </w:r>
      <w:r>
        <w:rPr>
          <w:rFonts w:ascii="Arial" w:hAnsi="Arial" w:cs="Arial"/>
          <w:noProof/>
          <w:lang w:val="nb-NO"/>
        </w:rPr>
        <w:t xml:space="preserve"> </w:t>
      </w:r>
      <w:r w:rsidR="00B4171B">
        <w:rPr>
          <w:rFonts w:ascii="Arial" w:hAnsi="Arial" w:cs="Arial"/>
          <w:noProof/>
          <w:lang w:val="nb-NO"/>
        </w:rPr>
        <w:t xml:space="preserve">et par </w:t>
      </w:r>
      <w:r>
        <w:rPr>
          <w:rFonts w:ascii="Arial" w:hAnsi="Arial" w:cs="Arial"/>
          <w:noProof/>
          <w:lang w:val="nb-NO"/>
        </w:rPr>
        <w:t>andre forhold som kan forklare</w:t>
      </w:r>
      <w:r w:rsidR="00E05518">
        <w:rPr>
          <w:rFonts w:ascii="Arial" w:hAnsi="Arial" w:cs="Arial"/>
          <w:noProof/>
          <w:lang w:val="nb-NO"/>
        </w:rPr>
        <w:t xml:space="preserve"> hvorfor Hellemyr</w:t>
      </w:r>
      <w:r w:rsidR="001D4A8B">
        <w:rPr>
          <w:rFonts w:ascii="Arial" w:hAnsi="Arial" w:cs="Arial"/>
          <w:noProof/>
          <w:lang w:val="nb-NO"/>
        </w:rPr>
        <w:t xml:space="preserve"> skiller seg så markant fra kommune-heksagonen.</w:t>
      </w:r>
    </w:p>
    <w:p w14:paraId="5ED41796" w14:textId="6D9801A1" w:rsidR="009A7601" w:rsidRDefault="009A7601" w:rsidP="006C1F57">
      <w:pPr>
        <w:rPr>
          <w:rFonts w:ascii="Arial" w:hAnsi="Arial" w:cs="Arial"/>
          <w:noProof/>
          <w:lang w:val="nb-NO"/>
        </w:rPr>
      </w:pPr>
    </w:p>
    <w:p w14:paraId="4F86555C" w14:textId="4D39352E" w:rsidR="006C1F57" w:rsidRPr="00F375AA" w:rsidRDefault="007A7395" w:rsidP="007A7395">
      <w:pPr>
        <w:pStyle w:val="Overskrift1"/>
        <w:rPr>
          <w:rFonts w:ascii="Arial" w:hAnsi="Arial" w:cs="Arial"/>
          <w:b/>
          <w:noProof/>
          <w:lang w:val="nb-NO"/>
        </w:rPr>
      </w:pPr>
      <w:r w:rsidRPr="00F375AA">
        <w:rPr>
          <w:b/>
          <w:lang w:val="nb-NO"/>
        </w:rPr>
        <w:lastRenderedPageBreak/>
        <w:t>Bolig</w:t>
      </w:r>
      <w:r w:rsidR="00A518D2" w:rsidRPr="00F375AA">
        <w:rPr>
          <w:b/>
          <w:lang w:val="nb-NO"/>
        </w:rPr>
        <w:t>er</w:t>
      </w:r>
      <w:r w:rsidR="00F375AA" w:rsidRPr="00F375AA">
        <w:rPr>
          <w:b/>
          <w:lang w:val="nb-NO"/>
        </w:rPr>
        <w:t>, antall</w:t>
      </w:r>
      <w:r w:rsidR="00A518D2" w:rsidRPr="00F375AA">
        <w:rPr>
          <w:b/>
          <w:lang w:val="nb-NO"/>
        </w:rPr>
        <w:t xml:space="preserve"> og </w:t>
      </w:r>
      <w:r w:rsidRPr="00F375AA">
        <w:rPr>
          <w:b/>
          <w:lang w:val="nb-NO"/>
        </w:rPr>
        <w:t>sammensetning</w:t>
      </w:r>
    </w:p>
    <w:p w14:paraId="6F85836F" w14:textId="5C161994" w:rsidR="007D2F6A" w:rsidRDefault="00705CD0">
      <w:pPr>
        <w:rPr>
          <w:lang w:val="nb-NO"/>
        </w:rPr>
      </w:pPr>
      <w:r w:rsidRPr="00705CD0">
        <w:rPr>
          <w:noProof/>
        </w:rPr>
        <w:drawing>
          <wp:inline distT="0" distB="0" distL="0" distR="0" wp14:anchorId="09F48AFC" wp14:editId="24729DA2">
            <wp:extent cx="3975100" cy="1695450"/>
            <wp:effectExtent l="0" t="0" r="6350" b="0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5F2" w:rsidRPr="000105F2">
        <w:t xml:space="preserve"> </w:t>
      </w:r>
      <w:r w:rsidR="004602A1">
        <w:rPr>
          <w:noProof/>
        </w:rPr>
        <w:drawing>
          <wp:inline distT="0" distB="0" distL="0" distR="0" wp14:anchorId="44A609D2" wp14:editId="0FDF2A99">
            <wp:extent cx="2528575" cy="2181225"/>
            <wp:effectExtent l="0" t="0" r="5080" b="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12" cy="218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0316F" w14:textId="310A4517" w:rsidR="007D2F6A" w:rsidRDefault="006414C8">
      <w:pPr>
        <w:rPr>
          <w:lang w:val="nb-NO"/>
        </w:rPr>
      </w:pPr>
      <w:r>
        <w:rPr>
          <w:lang w:val="nb-NO"/>
        </w:rPr>
        <w:t xml:space="preserve">For </w:t>
      </w:r>
      <w:r w:rsidR="00565D0B">
        <w:rPr>
          <w:lang w:val="nb-NO"/>
        </w:rPr>
        <w:t>Hellemyr</w:t>
      </w:r>
      <w:r w:rsidR="00935639">
        <w:rPr>
          <w:lang w:val="nb-NO"/>
        </w:rPr>
        <w:t xml:space="preserve"> </w:t>
      </w:r>
      <w:r w:rsidR="00ED74AC">
        <w:rPr>
          <w:lang w:val="nb-NO"/>
        </w:rPr>
        <w:t>kjennetegnes</w:t>
      </w:r>
      <w:r w:rsidR="00A22696">
        <w:rPr>
          <w:lang w:val="nb-NO"/>
        </w:rPr>
        <w:t xml:space="preserve"> boligprofilen</w:t>
      </w:r>
      <w:r w:rsidR="00ED74AC">
        <w:rPr>
          <w:lang w:val="nb-NO"/>
        </w:rPr>
        <w:t xml:space="preserve"> med </w:t>
      </w:r>
      <w:r w:rsidR="0030556F">
        <w:rPr>
          <w:lang w:val="nb-NO"/>
        </w:rPr>
        <w:t xml:space="preserve">et tilnærmet kommunegjennomsnittlig </w:t>
      </w:r>
      <w:r w:rsidR="00ED74AC">
        <w:rPr>
          <w:lang w:val="nb-NO"/>
        </w:rPr>
        <w:t xml:space="preserve">innslag av eneboliger og </w:t>
      </w:r>
      <w:proofErr w:type="spellStart"/>
      <w:r w:rsidR="00FA524A">
        <w:rPr>
          <w:lang w:val="nb-NO"/>
        </w:rPr>
        <w:t>horisontaltdelt</w:t>
      </w:r>
      <w:proofErr w:type="spellEnd"/>
      <w:r w:rsidR="00917DE2">
        <w:rPr>
          <w:lang w:val="nb-NO"/>
        </w:rPr>
        <w:t xml:space="preserve">. </w:t>
      </w:r>
      <w:r w:rsidR="007F54BC">
        <w:rPr>
          <w:lang w:val="nb-NO"/>
        </w:rPr>
        <w:t xml:space="preserve">Det er </w:t>
      </w:r>
      <w:r w:rsidR="00FA524A">
        <w:rPr>
          <w:lang w:val="nb-NO"/>
        </w:rPr>
        <w:t>et mark</w:t>
      </w:r>
      <w:r w:rsidR="007F54BC">
        <w:rPr>
          <w:lang w:val="nb-NO"/>
        </w:rPr>
        <w:t>ant</w:t>
      </w:r>
      <w:r w:rsidR="00FA524A">
        <w:rPr>
          <w:lang w:val="nb-NO"/>
        </w:rPr>
        <w:t xml:space="preserve"> innslag av </w:t>
      </w:r>
      <w:proofErr w:type="spellStart"/>
      <w:r w:rsidR="00FA524A">
        <w:rPr>
          <w:lang w:val="nb-NO"/>
        </w:rPr>
        <w:t>vertikaltdelte</w:t>
      </w:r>
      <w:proofErr w:type="spellEnd"/>
      <w:r w:rsidR="00FA524A">
        <w:rPr>
          <w:lang w:val="nb-NO"/>
        </w:rPr>
        <w:t xml:space="preserve"> boliger, og</w:t>
      </w:r>
      <w:r w:rsidR="00E91637">
        <w:rPr>
          <w:lang w:val="nb-NO"/>
        </w:rPr>
        <w:t xml:space="preserve"> </w:t>
      </w:r>
      <w:r w:rsidR="00BE6632">
        <w:rPr>
          <w:lang w:val="nb-NO"/>
        </w:rPr>
        <w:t>svært få</w:t>
      </w:r>
      <w:r w:rsidR="00E91637">
        <w:rPr>
          <w:lang w:val="nb-NO"/>
        </w:rPr>
        <w:t xml:space="preserve"> blokkleiligheter</w:t>
      </w:r>
      <w:r w:rsidR="00D27697">
        <w:rPr>
          <w:lang w:val="nb-NO"/>
        </w:rPr>
        <w:t>, og svært få av disse har heis.</w:t>
      </w:r>
    </w:p>
    <w:p w14:paraId="6E63E4DD" w14:textId="2E8F56B6" w:rsidR="00512133" w:rsidRPr="00D559BA" w:rsidRDefault="00512133" w:rsidP="00D559BA">
      <w:pPr>
        <w:pStyle w:val="Overskrift1"/>
        <w:rPr>
          <w:b/>
          <w:lang w:val="nb-NO"/>
        </w:rPr>
      </w:pPr>
      <w:r w:rsidRPr="00D559BA">
        <w:rPr>
          <w:b/>
          <w:lang w:val="nb-NO"/>
        </w:rPr>
        <w:t>Senterstruktur</w:t>
      </w:r>
    </w:p>
    <w:p w14:paraId="4BFE62C0" w14:textId="017D0F6D" w:rsidR="001626F0" w:rsidRPr="001626F0" w:rsidRDefault="003518C6" w:rsidP="001626F0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5C254E34" wp14:editId="775E8E11">
            <wp:extent cx="4182110" cy="2620010"/>
            <wp:effectExtent l="0" t="0" r="8890" b="8890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62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5D6C5" w14:textId="791F7A9B" w:rsidR="0094131F" w:rsidRDefault="004D0AAE">
      <w:pPr>
        <w:rPr>
          <w:lang w:val="nb-NO"/>
        </w:rPr>
      </w:pPr>
      <w:r>
        <w:rPr>
          <w:lang w:val="nb-NO"/>
        </w:rPr>
        <w:t>Hellemyr har et senter med da</w:t>
      </w:r>
      <w:r w:rsidR="00B71BB9">
        <w:rPr>
          <w:lang w:val="nb-NO"/>
        </w:rPr>
        <w:t>g</w:t>
      </w:r>
      <w:r>
        <w:rPr>
          <w:lang w:val="nb-NO"/>
        </w:rPr>
        <w:t>ligvare</w:t>
      </w:r>
      <w:r w:rsidR="004D7062">
        <w:rPr>
          <w:lang w:val="nb-NO"/>
        </w:rPr>
        <w:t xml:space="preserve"> (+ en frisør</w:t>
      </w:r>
      <w:r w:rsidR="009C4E1B">
        <w:rPr>
          <w:lang w:val="nb-NO"/>
        </w:rPr>
        <w:t xml:space="preserve"> og pizza</w:t>
      </w:r>
      <w:r w:rsidR="00164987">
        <w:rPr>
          <w:lang w:val="nb-NO"/>
        </w:rPr>
        <w:t>butikk som nå er til salgs</w:t>
      </w:r>
      <w:r w:rsidR="002A3FA7">
        <w:rPr>
          <w:lang w:val="nb-NO"/>
        </w:rPr>
        <w:t>, rød ring</w:t>
      </w:r>
      <w:r w:rsidR="001F4839">
        <w:rPr>
          <w:lang w:val="nb-NO"/>
        </w:rPr>
        <w:t>)</w:t>
      </w:r>
      <w:r w:rsidR="002A3FA7">
        <w:rPr>
          <w:lang w:val="nb-NO"/>
        </w:rPr>
        <w:t>.</w:t>
      </w:r>
      <w:r w:rsidR="004D7062">
        <w:rPr>
          <w:lang w:val="nb-NO"/>
        </w:rPr>
        <w:t xml:space="preserve"> Lenger inn</w:t>
      </w:r>
      <w:r w:rsidR="00450CCE">
        <w:rPr>
          <w:lang w:val="nb-NO"/>
        </w:rPr>
        <w:t xml:space="preserve"> </w:t>
      </w:r>
      <w:r w:rsidR="004D7062">
        <w:rPr>
          <w:lang w:val="nb-NO"/>
        </w:rPr>
        <w:t>forbi er det kirke, og inngang til turområder.</w:t>
      </w:r>
      <w:r w:rsidR="00C95B7D">
        <w:rPr>
          <w:lang w:val="nb-NO"/>
        </w:rPr>
        <w:t xml:space="preserve"> Len</w:t>
      </w:r>
      <w:r w:rsidR="00996B0E">
        <w:rPr>
          <w:lang w:val="nb-NO"/>
        </w:rPr>
        <w:t>ger</w:t>
      </w:r>
      <w:r w:rsidR="00C95B7D">
        <w:rPr>
          <w:lang w:val="nb-NO"/>
        </w:rPr>
        <w:t xml:space="preserve"> mot syd-øst finner vi barneskole, bydelsbibliotek</w:t>
      </w:r>
      <w:r w:rsidR="000D5886">
        <w:rPr>
          <w:lang w:val="nb-NO"/>
        </w:rPr>
        <w:t>,</w:t>
      </w:r>
      <w:r w:rsidR="00123AA0">
        <w:rPr>
          <w:lang w:val="nb-NO"/>
        </w:rPr>
        <w:t xml:space="preserve"> flerbrukshall, </w:t>
      </w:r>
      <w:proofErr w:type="spellStart"/>
      <w:r w:rsidR="00123AA0">
        <w:rPr>
          <w:lang w:val="nb-NO"/>
        </w:rPr>
        <w:t>flerbrukshus</w:t>
      </w:r>
      <w:proofErr w:type="spellEnd"/>
      <w:r w:rsidR="009F0FC1">
        <w:rPr>
          <w:lang w:val="nb-NO"/>
        </w:rPr>
        <w:t xml:space="preserve"> og</w:t>
      </w:r>
      <w:r w:rsidR="000D5886">
        <w:rPr>
          <w:lang w:val="nb-NO"/>
        </w:rPr>
        <w:t xml:space="preserve"> idrettsanlegg. </w:t>
      </w:r>
      <w:r w:rsidR="00450CCE">
        <w:rPr>
          <w:lang w:val="nb-NO"/>
        </w:rPr>
        <w:t>Til sammen</w:t>
      </w:r>
      <w:r w:rsidR="00A878E0">
        <w:rPr>
          <w:lang w:val="nb-NO"/>
        </w:rPr>
        <w:t xml:space="preserve">ligning har </w:t>
      </w:r>
      <w:r w:rsidR="000D5886">
        <w:rPr>
          <w:lang w:val="nb-NO"/>
        </w:rPr>
        <w:t>Hånes to sentre</w:t>
      </w:r>
      <w:r w:rsidR="00351AF4">
        <w:rPr>
          <w:lang w:val="nb-NO"/>
        </w:rPr>
        <w:t xml:space="preserve"> med god kommunikasjonen mellom leiligheter og dagligvare og noe flere innbyggere. Tveit har tre </w:t>
      </w:r>
      <w:r w:rsidR="002A3FA7">
        <w:rPr>
          <w:lang w:val="nb-NO"/>
        </w:rPr>
        <w:t>sentre, og færre innbyggere.</w:t>
      </w:r>
      <w:r w:rsidR="00681480">
        <w:rPr>
          <w:lang w:val="nb-NO"/>
        </w:rPr>
        <w:t xml:space="preserve"> Av kartet seg vi at en stor del av Hell</w:t>
      </w:r>
      <w:r w:rsidR="00A90EC0">
        <w:rPr>
          <w:lang w:val="nb-NO"/>
        </w:rPr>
        <w:t>e</w:t>
      </w:r>
      <w:r w:rsidR="00681480">
        <w:rPr>
          <w:lang w:val="nb-NO"/>
        </w:rPr>
        <w:t>myr har</w:t>
      </w:r>
      <w:r w:rsidR="00A90EC0">
        <w:rPr>
          <w:lang w:val="nb-NO"/>
        </w:rPr>
        <w:t xml:space="preserve"> svak ti</w:t>
      </w:r>
      <w:r w:rsidR="00A878E0">
        <w:rPr>
          <w:lang w:val="nb-NO"/>
        </w:rPr>
        <w:t>l</w:t>
      </w:r>
      <w:r w:rsidR="00A90EC0">
        <w:rPr>
          <w:lang w:val="nb-NO"/>
        </w:rPr>
        <w:t>gjengelighet til den ene</w:t>
      </w:r>
      <w:r w:rsidR="00D977A8">
        <w:rPr>
          <w:lang w:val="nb-NO"/>
        </w:rPr>
        <w:t xml:space="preserve">ste </w:t>
      </w:r>
      <w:r w:rsidR="00A90EC0">
        <w:rPr>
          <w:lang w:val="nb-NO"/>
        </w:rPr>
        <w:t>dagligvarebutikken.</w:t>
      </w:r>
      <w:r w:rsidR="00681480">
        <w:rPr>
          <w:lang w:val="nb-NO"/>
        </w:rPr>
        <w:t xml:space="preserve"> </w:t>
      </w:r>
    </w:p>
    <w:p w14:paraId="1D121964" w14:textId="77777777" w:rsidR="000438DD" w:rsidRDefault="0094131F">
      <w:pPr>
        <w:rPr>
          <w:lang w:val="nb-NO"/>
        </w:rPr>
      </w:pPr>
      <w:r>
        <w:rPr>
          <w:lang w:val="nb-NO"/>
        </w:rPr>
        <w:t xml:space="preserve">Fra </w:t>
      </w:r>
      <w:proofErr w:type="spellStart"/>
      <w:r>
        <w:rPr>
          <w:lang w:val="nb-NO"/>
        </w:rPr>
        <w:t>bydelsunderssøkelsene</w:t>
      </w:r>
      <w:proofErr w:type="spellEnd"/>
      <w:r>
        <w:rPr>
          <w:lang w:val="nb-NO"/>
        </w:rPr>
        <w:t xml:space="preserve"> fra 2</w:t>
      </w:r>
      <w:r w:rsidR="00A75968">
        <w:rPr>
          <w:lang w:val="nb-NO"/>
        </w:rPr>
        <w:t>018 og -20 vet vi at voksne som vurderer å flytte foretrekke</w:t>
      </w:r>
      <w:r w:rsidR="0095090F">
        <w:rPr>
          <w:lang w:val="nb-NO"/>
        </w:rPr>
        <w:t>r</w:t>
      </w:r>
      <w:r w:rsidR="00A75968">
        <w:rPr>
          <w:lang w:val="nb-NO"/>
        </w:rPr>
        <w:t xml:space="preserve"> leilighet</w:t>
      </w:r>
      <w:r w:rsidR="0095090F">
        <w:rPr>
          <w:lang w:val="nb-NO"/>
        </w:rPr>
        <w:t xml:space="preserve">. Av funksjoner i tilknytning til nærområdet </w:t>
      </w:r>
      <w:r w:rsidR="007D20D3">
        <w:rPr>
          <w:lang w:val="nb-NO"/>
        </w:rPr>
        <w:t xml:space="preserve">er dagligvarebutikk klart førsteprioritet, deretter kommer kollektivtilgang. </w:t>
      </w:r>
    </w:p>
    <w:p w14:paraId="6B0C3465" w14:textId="4F91F5BD" w:rsidR="000438DD" w:rsidRDefault="000438DD">
      <w:pPr>
        <w:rPr>
          <w:lang w:val="nb-NO"/>
        </w:rPr>
      </w:pPr>
      <w:r>
        <w:rPr>
          <w:lang w:val="nb-NO"/>
        </w:rPr>
        <w:t>Vi kan altså slå fast at Hellemyr</w:t>
      </w:r>
      <w:r w:rsidR="00C8710B">
        <w:rPr>
          <w:lang w:val="nb-NO"/>
        </w:rPr>
        <w:t xml:space="preserve"> mangler et variert boligtilbud for de som trenger en boligforenkling, - og bydelen </w:t>
      </w:r>
      <w:r w:rsidR="00C8710B" w:rsidRPr="002775F3">
        <w:rPr>
          <w:u w:val="single"/>
          <w:lang w:val="nb-NO"/>
        </w:rPr>
        <w:t>mang</w:t>
      </w:r>
      <w:r w:rsidR="00CC21AC" w:rsidRPr="002775F3">
        <w:rPr>
          <w:u w:val="single"/>
          <w:lang w:val="nb-NO"/>
        </w:rPr>
        <w:t>ler en kobling mellom det daglig</w:t>
      </w:r>
      <w:r w:rsidR="00104DFE">
        <w:rPr>
          <w:u w:val="single"/>
          <w:lang w:val="nb-NO"/>
        </w:rPr>
        <w:t>vare</w:t>
      </w:r>
      <w:r w:rsidR="00CC21AC" w:rsidRPr="002775F3">
        <w:rPr>
          <w:u w:val="single"/>
          <w:lang w:val="nb-NO"/>
        </w:rPr>
        <w:t xml:space="preserve"> og leiligheter</w:t>
      </w:r>
      <w:r w:rsidR="00CC21AC">
        <w:rPr>
          <w:lang w:val="nb-NO"/>
        </w:rPr>
        <w:t>.</w:t>
      </w:r>
    </w:p>
    <w:p w14:paraId="78CA8CBE" w14:textId="7E08E519" w:rsidR="00C51CAB" w:rsidRPr="00865E8E" w:rsidRDefault="00512133" w:rsidP="00F64D6D">
      <w:pPr>
        <w:pStyle w:val="Overskrift1"/>
        <w:rPr>
          <w:b/>
          <w:bCs/>
          <w:lang w:val="nb-NO"/>
        </w:rPr>
      </w:pPr>
      <w:r w:rsidRPr="00865E8E">
        <w:rPr>
          <w:b/>
          <w:bCs/>
          <w:lang w:val="nb-NO"/>
        </w:rPr>
        <w:t>Flyttestatistikk</w:t>
      </w:r>
    </w:p>
    <w:p w14:paraId="4A36221D" w14:textId="50B1F28C" w:rsidR="00921662" w:rsidRDefault="005B0314">
      <w:pPr>
        <w:rPr>
          <w:lang w:val="nb-NO"/>
        </w:rPr>
      </w:pPr>
      <w:r>
        <w:rPr>
          <w:lang w:val="nb-NO"/>
        </w:rPr>
        <w:t xml:space="preserve">I lys av dette kan vi bedre forså </w:t>
      </w:r>
      <w:r w:rsidR="005F36C3">
        <w:rPr>
          <w:lang w:val="nb-NO"/>
        </w:rPr>
        <w:t>det mest sentrale trekk ved bydelens flyttestatistikk eller -profil.</w:t>
      </w:r>
    </w:p>
    <w:p w14:paraId="55B2D148" w14:textId="612C0A8E" w:rsidR="008F4CE6" w:rsidRDefault="008F4CE6">
      <w:pPr>
        <w:rPr>
          <w:lang w:val="nb-NO"/>
        </w:rPr>
      </w:pPr>
      <w:r>
        <w:rPr>
          <w:noProof/>
          <w:lang w:val="nb-NO"/>
        </w:rPr>
        <w:lastRenderedPageBreak/>
        <w:drawing>
          <wp:inline distT="0" distB="0" distL="0" distR="0" wp14:anchorId="05D3F1E8" wp14:editId="6C497BD8">
            <wp:extent cx="6305550" cy="3405653"/>
            <wp:effectExtent l="0" t="0" r="0" b="4445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50" cy="3412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922A8" w14:textId="52AC1EEE" w:rsidR="003B1DC8" w:rsidRDefault="003B1DC8" w:rsidP="00297CEA">
      <w:pPr>
        <w:rPr>
          <w:lang w:val="nb-NO"/>
        </w:rPr>
      </w:pPr>
      <w:r>
        <w:rPr>
          <w:lang w:val="nb-NO"/>
        </w:rPr>
        <w:t xml:space="preserve">Vi har kjørt statistikk hvert år fra 1993 til </w:t>
      </w:r>
      <w:r w:rsidR="00297CEA">
        <w:rPr>
          <w:lang w:val="nb-NO"/>
        </w:rPr>
        <w:t>2013. Vi har også flyttedata for årene 20</w:t>
      </w:r>
      <w:r w:rsidR="000D3977">
        <w:rPr>
          <w:lang w:val="nb-NO"/>
        </w:rPr>
        <w:t xml:space="preserve">17-19. Disse viser det samme. Vi ser at av de </w:t>
      </w:r>
      <w:r w:rsidR="00220E0B">
        <w:rPr>
          <w:lang w:val="nb-NO"/>
        </w:rPr>
        <w:t xml:space="preserve">i gruppen 60-79år </w:t>
      </w:r>
      <w:r w:rsidR="000D3977">
        <w:rPr>
          <w:lang w:val="nb-NO"/>
        </w:rPr>
        <w:t>som ønsker å flytte</w:t>
      </w:r>
      <w:r w:rsidR="00AA3C2D">
        <w:rPr>
          <w:lang w:val="nb-NO"/>
        </w:rPr>
        <w:t xml:space="preserve"> er det kun 5-6% som finner en løsning innen </w:t>
      </w:r>
      <w:r w:rsidR="00F97DA0">
        <w:rPr>
          <w:lang w:val="nb-NO"/>
        </w:rPr>
        <w:t xml:space="preserve">bydelen. Snittet for alle bydeler i gml. KRS </w:t>
      </w:r>
      <w:r w:rsidR="005D6328">
        <w:rPr>
          <w:lang w:val="nb-NO"/>
        </w:rPr>
        <w:t>ligger mellom 27 og 38% av flytterne mellom 60</w:t>
      </w:r>
      <w:r w:rsidR="00220E0B">
        <w:rPr>
          <w:lang w:val="nb-NO"/>
        </w:rPr>
        <w:t xml:space="preserve"> og 79 år.</w:t>
      </w:r>
    </w:p>
    <w:p w14:paraId="302B71A5" w14:textId="7FC7E982" w:rsidR="00575732" w:rsidRDefault="00575732" w:rsidP="00297CEA">
      <w:pPr>
        <w:rPr>
          <w:lang w:val="nb-NO"/>
        </w:rPr>
      </w:pPr>
      <w:r>
        <w:rPr>
          <w:lang w:val="nb-NO"/>
        </w:rPr>
        <w:t>Fra de samme boligundersøkelsene, og også fra en undersøkelse</w:t>
      </w:r>
      <w:r w:rsidR="008D3A35">
        <w:rPr>
          <w:lang w:val="nb-NO"/>
        </w:rPr>
        <w:t xml:space="preserve"> fra 2006</w:t>
      </w:r>
      <w:r>
        <w:rPr>
          <w:lang w:val="nb-NO"/>
        </w:rPr>
        <w:t xml:space="preserve"> i regi av HEPRO/EU</w:t>
      </w:r>
      <w:r w:rsidR="007E4BF1">
        <w:rPr>
          <w:lang w:val="nb-NO"/>
        </w:rPr>
        <w:t>, er det ca. halvparten av befolkningen som føler seg rimelig knyttet til området de bor i. Av disse svarer ca. halvparten at de føler seg sterkt knyttet.</w:t>
      </w:r>
    </w:p>
    <w:p w14:paraId="0520AFC3" w14:textId="39B5DC0D" w:rsidR="008D79DF" w:rsidRDefault="008D79DF" w:rsidP="00297CEA">
      <w:pPr>
        <w:rPr>
          <w:lang w:val="nb-NO"/>
        </w:rPr>
      </w:pPr>
      <w:r>
        <w:rPr>
          <w:lang w:val="nb-NO"/>
        </w:rPr>
        <w:t xml:space="preserve">Vi har </w:t>
      </w:r>
      <w:proofErr w:type="spellStart"/>
      <w:r>
        <w:rPr>
          <w:lang w:val="nb-NO"/>
        </w:rPr>
        <w:t>mao</w:t>
      </w:r>
      <w:proofErr w:type="spellEnd"/>
      <w:r>
        <w:rPr>
          <w:lang w:val="nb-NO"/>
        </w:rPr>
        <w:t xml:space="preserve"> å gjøre med en bydel som ikke utmerker seg </w:t>
      </w:r>
      <w:r w:rsidR="00AE77F1">
        <w:rPr>
          <w:lang w:val="nb-NO"/>
        </w:rPr>
        <w:t>med aldersvennlighet.</w:t>
      </w:r>
    </w:p>
    <w:p w14:paraId="66D07527" w14:textId="2B610159" w:rsidR="007D2F6A" w:rsidRDefault="007D2F6A" w:rsidP="009238FD">
      <w:pPr>
        <w:pStyle w:val="Overskrift1"/>
        <w:rPr>
          <w:b/>
          <w:lang w:val="nb-NO"/>
        </w:rPr>
      </w:pPr>
      <w:proofErr w:type="spellStart"/>
      <w:r w:rsidRPr="00921662">
        <w:rPr>
          <w:b/>
          <w:lang w:val="nb-NO"/>
        </w:rPr>
        <w:t>Fremskrivninger</w:t>
      </w:r>
      <w:proofErr w:type="spellEnd"/>
      <w:r w:rsidR="00A254C5" w:rsidRPr="00921662">
        <w:rPr>
          <w:b/>
          <w:lang w:val="nb-NO"/>
        </w:rPr>
        <w:t xml:space="preserve"> av eldrebefolkningen</w:t>
      </w:r>
      <w:r w:rsidR="003A0B0F">
        <w:rPr>
          <w:b/>
          <w:lang w:val="nb-NO"/>
        </w:rPr>
        <w:t xml:space="preserve"> </w:t>
      </w:r>
      <w:r w:rsidR="004D50F9">
        <w:rPr>
          <w:b/>
          <w:lang w:val="nb-NO"/>
        </w:rPr>
        <w:t>–</w:t>
      </w:r>
      <w:r w:rsidR="003A0B0F">
        <w:rPr>
          <w:b/>
          <w:lang w:val="nb-NO"/>
        </w:rPr>
        <w:t xml:space="preserve"> boligbehov</w:t>
      </w:r>
      <w:r w:rsidR="004D50F9">
        <w:rPr>
          <w:b/>
          <w:lang w:val="nb-NO"/>
        </w:rPr>
        <w:t xml:space="preserve"> </w:t>
      </w:r>
      <w:r w:rsidR="00F77756">
        <w:rPr>
          <w:b/>
          <w:lang w:val="nb-NO"/>
        </w:rPr>
        <w:t>–</w:t>
      </w:r>
      <w:r w:rsidR="004D50F9">
        <w:rPr>
          <w:b/>
          <w:lang w:val="nb-NO"/>
        </w:rPr>
        <w:t xml:space="preserve"> senterbehov</w:t>
      </w:r>
    </w:p>
    <w:p w14:paraId="18B6B1DF" w14:textId="77777777" w:rsidR="00F77756" w:rsidRPr="00F77756" w:rsidRDefault="00F77756" w:rsidP="00F77756">
      <w:pPr>
        <w:rPr>
          <w:lang w:val="nb-NO"/>
        </w:rPr>
      </w:pPr>
    </w:p>
    <w:p w14:paraId="758EEE4A" w14:textId="571D8D25" w:rsidR="00C60645" w:rsidRPr="00C60645" w:rsidRDefault="002D7F8A" w:rsidP="00C60645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73600" behindDoc="1" locked="0" layoutInCell="1" allowOverlap="1" wp14:anchorId="4006C064" wp14:editId="14C4114E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276600" cy="1731135"/>
            <wp:effectExtent l="0" t="0" r="0" b="2540"/>
            <wp:wrapTight wrapText="bothSides">
              <wp:wrapPolygon edited="0">
                <wp:start x="0" y="0"/>
                <wp:lineTo x="0" y="21394"/>
                <wp:lineTo x="21474" y="21394"/>
                <wp:lineTo x="21474" y="0"/>
                <wp:lineTo x="0" y="0"/>
              </wp:wrapPolygon>
            </wp:wrapTight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AF1">
        <w:rPr>
          <w:lang w:val="nb-NO"/>
        </w:rPr>
        <w:t>Innen 2040</w:t>
      </w:r>
      <w:r w:rsidR="00870797">
        <w:rPr>
          <w:lang w:val="nb-NO"/>
        </w:rPr>
        <w:t xml:space="preserve"> vil det </w:t>
      </w:r>
      <w:proofErr w:type="spellStart"/>
      <w:r w:rsidR="00870797">
        <w:rPr>
          <w:lang w:val="nb-NO"/>
        </w:rPr>
        <w:t>iflg</w:t>
      </w:r>
      <w:proofErr w:type="spellEnd"/>
      <w:r w:rsidR="00870797">
        <w:rPr>
          <w:lang w:val="nb-NO"/>
        </w:rPr>
        <w:t xml:space="preserve">. </w:t>
      </w:r>
      <w:r w:rsidR="00A4272C">
        <w:rPr>
          <w:lang w:val="nb-NO"/>
        </w:rPr>
        <w:t>d</w:t>
      </w:r>
      <w:r w:rsidR="00870797">
        <w:rPr>
          <w:lang w:val="nb-NO"/>
        </w:rPr>
        <w:t xml:space="preserve">enne </w:t>
      </w:r>
      <w:proofErr w:type="spellStart"/>
      <w:r w:rsidR="00870797" w:rsidRPr="007C6758">
        <w:rPr>
          <w:i/>
          <w:lang w:val="nb-NO"/>
        </w:rPr>
        <w:t>fremskrivningen</w:t>
      </w:r>
      <w:proofErr w:type="spellEnd"/>
      <w:r w:rsidR="00870797">
        <w:rPr>
          <w:lang w:val="nb-NO"/>
        </w:rPr>
        <w:t xml:space="preserve"> – dvs. utviklingen i befolkningen lagt til grunn</w:t>
      </w:r>
      <w:r w:rsidR="00FC00A2">
        <w:rPr>
          <w:lang w:val="nb-NO"/>
        </w:rPr>
        <w:t xml:space="preserve"> </w:t>
      </w:r>
      <w:proofErr w:type="spellStart"/>
      <w:r w:rsidR="00FC00A2">
        <w:rPr>
          <w:lang w:val="nb-NO"/>
        </w:rPr>
        <w:t>SSB’s</w:t>
      </w:r>
      <w:proofErr w:type="spellEnd"/>
      <w:r w:rsidR="00FC00A2">
        <w:rPr>
          <w:lang w:val="nb-NO"/>
        </w:rPr>
        <w:t xml:space="preserve"> dødssannsynligheter og at ingen flytter – bli</w:t>
      </w:r>
      <w:r w:rsidR="007C3231">
        <w:rPr>
          <w:lang w:val="nb-NO"/>
        </w:rPr>
        <w:t xml:space="preserve"> </w:t>
      </w:r>
      <w:r w:rsidR="000F7443">
        <w:rPr>
          <w:lang w:val="nb-NO"/>
        </w:rPr>
        <w:t>160</w:t>
      </w:r>
      <w:r w:rsidR="00BE1235">
        <w:rPr>
          <w:lang w:val="nb-NO"/>
        </w:rPr>
        <w:t>%</w:t>
      </w:r>
      <w:r w:rsidR="001B6A5D">
        <w:rPr>
          <w:lang w:val="nb-NO"/>
        </w:rPr>
        <w:t xml:space="preserve"> </w:t>
      </w:r>
      <w:r w:rsidR="007C3231">
        <w:rPr>
          <w:lang w:val="nb-NO"/>
        </w:rPr>
        <w:t>flere i gruppen 67-79år</w:t>
      </w:r>
      <w:r w:rsidR="004D6E25">
        <w:rPr>
          <w:lang w:val="nb-NO"/>
        </w:rPr>
        <w:t xml:space="preserve"> og </w:t>
      </w:r>
      <w:r w:rsidR="000F7443">
        <w:rPr>
          <w:lang w:val="nb-NO"/>
        </w:rPr>
        <w:t>985</w:t>
      </w:r>
      <w:r w:rsidR="001B6A5D">
        <w:rPr>
          <w:lang w:val="nb-NO"/>
        </w:rPr>
        <w:t>%</w:t>
      </w:r>
      <w:r w:rsidR="004D6E25">
        <w:rPr>
          <w:lang w:val="nb-NO"/>
        </w:rPr>
        <w:t xml:space="preserve"> flere i gruppen 80år+</w:t>
      </w:r>
      <w:r w:rsidR="001B6A5D">
        <w:rPr>
          <w:lang w:val="nb-NO"/>
        </w:rPr>
        <w:t xml:space="preserve"> med 2019 som basisår.</w:t>
      </w:r>
      <w:r w:rsidR="004D6E25">
        <w:rPr>
          <w:lang w:val="nb-NO"/>
        </w:rPr>
        <w:t>.</w:t>
      </w:r>
      <w:r w:rsidR="00AE70CB">
        <w:rPr>
          <w:lang w:val="nb-NO"/>
        </w:rPr>
        <w:t xml:space="preserve"> </w:t>
      </w:r>
      <w:proofErr w:type="spellStart"/>
      <w:r w:rsidR="00AE70CB">
        <w:rPr>
          <w:lang w:val="nb-NO"/>
        </w:rPr>
        <w:t>Fremskrivningen</w:t>
      </w:r>
      <w:proofErr w:type="spellEnd"/>
      <w:r w:rsidR="00AE70CB">
        <w:rPr>
          <w:lang w:val="nb-NO"/>
        </w:rPr>
        <w:t xml:space="preserve"> viser eldre-</w:t>
      </w:r>
      <w:r w:rsidR="00AE70CB" w:rsidRPr="008E295C">
        <w:rPr>
          <w:u w:val="single"/>
          <w:lang w:val="nb-NO"/>
        </w:rPr>
        <w:t>potensialet</w:t>
      </w:r>
      <w:r w:rsidR="007B0344">
        <w:rPr>
          <w:lang w:val="nb-NO"/>
        </w:rPr>
        <w:t xml:space="preserve">, dvs. hvor mange i eldregruppene det </w:t>
      </w:r>
      <w:r w:rsidR="00707F24">
        <w:rPr>
          <w:lang w:val="nb-NO"/>
        </w:rPr>
        <w:t>kan bli dersom ingen flytter.</w:t>
      </w:r>
    </w:p>
    <w:p w14:paraId="0A7A1124" w14:textId="350EDBD5" w:rsidR="00FD53BC" w:rsidRDefault="00AE70CB">
      <w:pPr>
        <w:rPr>
          <w:lang w:val="nb-NO"/>
        </w:rPr>
      </w:pPr>
      <w:r>
        <w:rPr>
          <w:lang w:val="nb-NO"/>
        </w:rPr>
        <w:t xml:space="preserve">Det </w:t>
      </w:r>
      <w:r w:rsidR="004D50F9">
        <w:rPr>
          <w:lang w:val="nb-NO"/>
        </w:rPr>
        <w:t>gode</w:t>
      </w:r>
      <w:r>
        <w:rPr>
          <w:lang w:val="nb-NO"/>
        </w:rPr>
        <w:t xml:space="preserve"> salget </w:t>
      </w:r>
      <w:r w:rsidR="004D50F9">
        <w:rPr>
          <w:lang w:val="nb-NO"/>
        </w:rPr>
        <w:t>i</w:t>
      </w:r>
      <w:r>
        <w:rPr>
          <w:lang w:val="nb-NO"/>
        </w:rPr>
        <w:t xml:space="preserve"> </w:t>
      </w:r>
      <w:r w:rsidR="009C6284">
        <w:rPr>
          <w:lang w:val="nb-NO"/>
        </w:rPr>
        <w:t>anlegg som V</w:t>
      </w:r>
      <w:r w:rsidR="00AE4665">
        <w:rPr>
          <w:lang w:val="nb-NO"/>
        </w:rPr>
        <w:t>oi</w:t>
      </w:r>
      <w:r w:rsidR="009C6284">
        <w:rPr>
          <w:lang w:val="nb-NO"/>
        </w:rPr>
        <w:t xml:space="preserve">e atrium, </w:t>
      </w:r>
      <w:r w:rsidR="004D50F9">
        <w:rPr>
          <w:lang w:val="nb-NO"/>
        </w:rPr>
        <w:t>Randesund Hageby</w:t>
      </w:r>
      <w:r>
        <w:rPr>
          <w:lang w:val="nb-NO"/>
        </w:rPr>
        <w:t xml:space="preserve"> </w:t>
      </w:r>
      <w:r w:rsidR="009E3C1C">
        <w:rPr>
          <w:lang w:val="nb-NO"/>
        </w:rPr>
        <w:t>tyder på</w:t>
      </w:r>
      <w:r>
        <w:rPr>
          <w:lang w:val="nb-NO"/>
        </w:rPr>
        <w:t xml:space="preserve"> et oppdemt behov</w:t>
      </w:r>
      <w:r w:rsidR="00AE4665">
        <w:rPr>
          <w:lang w:val="nb-NO"/>
        </w:rPr>
        <w:t>, og at ikke bare sentrale anlegg hevder seg</w:t>
      </w:r>
      <w:r w:rsidR="000E6C57">
        <w:rPr>
          <w:lang w:val="nb-NO"/>
        </w:rPr>
        <w:t xml:space="preserve"> i markedet</w:t>
      </w:r>
      <w:r>
        <w:rPr>
          <w:lang w:val="nb-NO"/>
        </w:rPr>
        <w:t>. Ny behovsbølge vil komme</w:t>
      </w:r>
      <w:r w:rsidR="000E6C57">
        <w:rPr>
          <w:lang w:val="nb-NO"/>
        </w:rPr>
        <w:t>, og særlig på Hell</w:t>
      </w:r>
      <w:r w:rsidR="008D6D1C">
        <w:rPr>
          <w:lang w:val="nb-NO"/>
        </w:rPr>
        <w:t>e</w:t>
      </w:r>
      <w:r w:rsidR="000E6C57">
        <w:rPr>
          <w:lang w:val="nb-NO"/>
        </w:rPr>
        <w:t xml:space="preserve">myr. Det er ingen bydel med et så stort </w:t>
      </w:r>
      <w:r w:rsidR="000E6C57" w:rsidRPr="004A6895">
        <w:rPr>
          <w:i/>
          <w:iCs/>
          <w:lang w:val="nb-NO"/>
        </w:rPr>
        <w:t>relativt</w:t>
      </w:r>
      <w:r w:rsidR="000E6C57">
        <w:rPr>
          <w:lang w:val="nb-NO"/>
        </w:rPr>
        <w:t xml:space="preserve"> eldrepotensiale</w:t>
      </w:r>
      <w:r>
        <w:rPr>
          <w:lang w:val="nb-NO"/>
        </w:rPr>
        <w:t xml:space="preserve">. </w:t>
      </w:r>
      <w:r w:rsidR="002F6E0E">
        <w:rPr>
          <w:lang w:val="nb-NO"/>
        </w:rPr>
        <w:t xml:space="preserve">Vi </w:t>
      </w:r>
      <w:r w:rsidR="00DF4CCF">
        <w:rPr>
          <w:lang w:val="nb-NO"/>
        </w:rPr>
        <w:t xml:space="preserve">har </w:t>
      </w:r>
      <w:r w:rsidR="003F16D7">
        <w:rPr>
          <w:lang w:val="nb-NO"/>
        </w:rPr>
        <w:t xml:space="preserve">allerede kommentert tilknytningen til nærområdet. </w:t>
      </w:r>
      <w:r>
        <w:rPr>
          <w:lang w:val="nb-NO"/>
        </w:rPr>
        <w:t xml:space="preserve">Vi må </w:t>
      </w:r>
      <w:r w:rsidR="00D70B48">
        <w:rPr>
          <w:lang w:val="nb-NO"/>
        </w:rPr>
        <w:t xml:space="preserve">derfor </w:t>
      </w:r>
      <w:r>
        <w:rPr>
          <w:lang w:val="nb-NO"/>
        </w:rPr>
        <w:t>anta et det vil bli</w:t>
      </w:r>
      <w:r w:rsidR="002F6E0E">
        <w:rPr>
          <w:lang w:val="nb-NO"/>
        </w:rPr>
        <w:t xml:space="preserve"> b</w:t>
      </w:r>
      <w:r>
        <w:rPr>
          <w:lang w:val="nb-NO"/>
        </w:rPr>
        <w:t>ehov for flere leiligheter</w:t>
      </w:r>
      <w:r w:rsidR="00D12CF9">
        <w:rPr>
          <w:lang w:val="nb-NO"/>
        </w:rPr>
        <w:t xml:space="preserve"> sentralt i </w:t>
      </w:r>
      <w:r w:rsidR="004C23E5">
        <w:rPr>
          <w:lang w:val="nb-NO"/>
        </w:rPr>
        <w:t>de</w:t>
      </w:r>
      <w:r w:rsidR="00121B58">
        <w:rPr>
          <w:lang w:val="nb-NO"/>
        </w:rPr>
        <w:t>n</w:t>
      </w:r>
      <w:r w:rsidR="004C23E5">
        <w:rPr>
          <w:lang w:val="nb-NO"/>
        </w:rPr>
        <w:t xml:space="preserve"> enkelte </w:t>
      </w:r>
      <w:r w:rsidR="00D12CF9">
        <w:rPr>
          <w:lang w:val="nb-NO"/>
        </w:rPr>
        <w:t>bydel</w:t>
      </w:r>
      <w:r>
        <w:rPr>
          <w:lang w:val="nb-NO"/>
        </w:rPr>
        <w:t>.</w:t>
      </w:r>
      <w:r w:rsidR="004A63F5">
        <w:rPr>
          <w:lang w:val="nb-NO"/>
        </w:rPr>
        <w:t xml:space="preserve"> Det blir også en </w:t>
      </w:r>
      <w:r w:rsidR="006E0FD5">
        <w:rPr>
          <w:lang w:val="nb-NO"/>
        </w:rPr>
        <w:t xml:space="preserve">viktig oppgave å skape gode nærsentre for å motvirke ensomhet, </w:t>
      </w:r>
      <w:r w:rsidR="005D35CC">
        <w:rPr>
          <w:lang w:val="nb-NO"/>
        </w:rPr>
        <w:t xml:space="preserve">skape </w:t>
      </w:r>
      <w:r w:rsidR="00121B58">
        <w:rPr>
          <w:lang w:val="nb-NO"/>
        </w:rPr>
        <w:t xml:space="preserve">aktivisering, </w:t>
      </w:r>
      <w:r w:rsidR="006E0FD5">
        <w:rPr>
          <w:lang w:val="nb-NO"/>
        </w:rPr>
        <w:t>samt optimalisere egenomsorg</w:t>
      </w:r>
      <w:r w:rsidR="006A32E7">
        <w:rPr>
          <w:lang w:val="nb-NO"/>
        </w:rPr>
        <w:t xml:space="preserve"> utfra de eldre som en ressurs.</w:t>
      </w:r>
      <w:r w:rsidR="004D50F9">
        <w:rPr>
          <w:lang w:val="nb-NO"/>
        </w:rPr>
        <w:t xml:space="preserve"> </w:t>
      </w:r>
      <w:r w:rsidR="00E955BB">
        <w:rPr>
          <w:lang w:val="nb-NO"/>
        </w:rPr>
        <w:t xml:space="preserve">Hellemyr er </w:t>
      </w:r>
      <w:r w:rsidR="004D50F9">
        <w:rPr>
          <w:lang w:val="nb-NO"/>
        </w:rPr>
        <w:t>i så måte en underutviklet bydel.</w:t>
      </w:r>
      <w:r w:rsidR="00121B58">
        <w:rPr>
          <w:lang w:val="nb-NO"/>
        </w:rPr>
        <w:t xml:space="preserve"> </w:t>
      </w:r>
    </w:p>
    <w:p w14:paraId="355DF572" w14:textId="2D7EDBBB" w:rsidR="00F92023" w:rsidRDefault="00FD53BC" w:rsidP="00D17BC2">
      <w:pPr>
        <w:rPr>
          <w:lang w:val="nb-NO"/>
        </w:rPr>
      </w:pPr>
      <w:r>
        <w:rPr>
          <w:lang w:val="nb-NO"/>
        </w:rPr>
        <w:t xml:space="preserve">Det har internt vært arbeidet en del med planlegging for eldrebølgen/et aldersvennlig samfunn. </w:t>
      </w:r>
      <w:proofErr w:type="spellStart"/>
      <w:r>
        <w:rPr>
          <w:lang w:val="nb-NO"/>
        </w:rPr>
        <w:t>Asplan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Viak</w:t>
      </w:r>
      <w:proofErr w:type="spellEnd"/>
      <w:r>
        <w:rPr>
          <w:lang w:val="nb-NO"/>
        </w:rPr>
        <w:t xml:space="preserve"> arbeider med en </w:t>
      </w:r>
      <w:r w:rsidR="0021746E">
        <w:rPr>
          <w:lang w:val="nb-NO"/>
        </w:rPr>
        <w:t xml:space="preserve">FOU om livsløpsbyen. Det har vært en del kontakt mellom de to prosjekter, og Hellemyr har vært studert av </w:t>
      </w:r>
      <w:proofErr w:type="spellStart"/>
      <w:r w:rsidR="0021746E">
        <w:rPr>
          <w:lang w:val="nb-NO"/>
        </w:rPr>
        <w:t>A</w:t>
      </w:r>
      <w:r w:rsidR="003C37BD">
        <w:rPr>
          <w:lang w:val="nb-NO"/>
        </w:rPr>
        <w:t>splan</w:t>
      </w:r>
      <w:proofErr w:type="spellEnd"/>
      <w:r w:rsidR="003C37BD">
        <w:rPr>
          <w:lang w:val="nb-NO"/>
        </w:rPr>
        <w:t xml:space="preserve"> </w:t>
      </w:r>
      <w:proofErr w:type="spellStart"/>
      <w:r w:rsidR="0021746E">
        <w:rPr>
          <w:lang w:val="nb-NO"/>
        </w:rPr>
        <w:t>V</w:t>
      </w:r>
      <w:r w:rsidR="003C37BD">
        <w:rPr>
          <w:lang w:val="nb-NO"/>
        </w:rPr>
        <w:t>iak</w:t>
      </w:r>
      <w:proofErr w:type="spellEnd"/>
      <w:r w:rsidR="0021746E">
        <w:rPr>
          <w:lang w:val="nb-NO"/>
        </w:rPr>
        <w:t xml:space="preserve"> som et case</w:t>
      </w:r>
      <w:r w:rsidR="003C37BD">
        <w:rPr>
          <w:lang w:val="nb-NO"/>
        </w:rPr>
        <w:t xml:space="preserve"> utpekt av oss</w:t>
      </w:r>
      <w:r w:rsidR="0021746E">
        <w:rPr>
          <w:lang w:val="nb-NO"/>
        </w:rPr>
        <w:t>.</w:t>
      </w:r>
      <w:r w:rsidR="005C0FF4">
        <w:rPr>
          <w:lang w:val="nb-NO"/>
        </w:rPr>
        <w:t xml:space="preserve"> Ulike scenarier er lagt frem. En fr</w:t>
      </w:r>
      <w:r w:rsidR="00F31AB8">
        <w:rPr>
          <w:lang w:val="nb-NO"/>
        </w:rPr>
        <w:t>y</w:t>
      </w:r>
      <w:r w:rsidR="005C0FF4">
        <w:rPr>
          <w:lang w:val="nb-NO"/>
        </w:rPr>
        <w:t xml:space="preserve">kt er at et ev. senter nr. 2 vil kunne underminere eksisterende senter. Vi har antydet utredning av en filial-løsning slik at dette unngås. </w:t>
      </w:r>
      <w:r w:rsidR="00167741">
        <w:rPr>
          <w:lang w:val="nb-NO"/>
        </w:rPr>
        <w:t>Omsetningen ved eksisterende dagligvare er 43 mill. Lekkasjen fra hele Hellemyr er beregnet til ca. 100</w:t>
      </w:r>
      <w:r w:rsidR="00D457A5">
        <w:rPr>
          <w:lang w:val="nb-NO"/>
        </w:rPr>
        <w:t xml:space="preserve"> mill. Hvis en kunne fange opp </w:t>
      </w:r>
      <w:r w:rsidR="00D457A5">
        <w:rPr>
          <w:lang w:val="nb-NO"/>
        </w:rPr>
        <w:lastRenderedPageBreak/>
        <w:t xml:space="preserve">halvparten av dette skulle det være grunnlag for en dagligvare nr. 2, </w:t>
      </w:r>
      <w:r w:rsidR="00D87F86">
        <w:rPr>
          <w:lang w:val="nb-NO"/>
        </w:rPr>
        <w:t xml:space="preserve">i </w:t>
      </w:r>
      <w:r w:rsidR="003209C7">
        <w:rPr>
          <w:lang w:val="nb-NO"/>
        </w:rPr>
        <w:t>samspill</w:t>
      </w:r>
      <w:r w:rsidR="00D87F86">
        <w:rPr>
          <w:lang w:val="nb-NO"/>
        </w:rPr>
        <w:t xml:space="preserve"> med </w:t>
      </w:r>
      <w:r w:rsidR="003209C7">
        <w:rPr>
          <w:lang w:val="nb-NO"/>
        </w:rPr>
        <w:t>sårt tiltreng</w:t>
      </w:r>
      <w:r w:rsidR="00F31AB8">
        <w:rPr>
          <w:lang w:val="nb-NO"/>
        </w:rPr>
        <w:t>t</w:t>
      </w:r>
      <w:r w:rsidR="003209C7">
        <w:rPr>
          <w:lang w:val="nb-NO"/>
        </w:rPr>
        <w:t>e</w:t>
      </w:r>
      <w:r w:rsidR="006D22E6">
        <w:rPr>
          <w:lang w:val="nb-NO"/>
        </w:rPr>
        <w:t xml:space="preserve"> fu</w:t>
      </w:r>
      <w:r w:rsidR="003F5B4C">
        <w:rPr>
          <w:lang w:val="nb-NO"/>
        </w:rPr>
        <w:t>nksjonelle</w:t>
      </w:r>
      <w:r w:rsidR="003209C7">
        <w:rPr>
          <w:lang w:val="nb-NO"/>
        </w:rPr>
        <w:t xml:space="preserve"> leiligheter</w:t>
      </w:r>
      <w:r w:rsidR="00B74CEC">
        <w:rPr>
          <w:lang w:val="nb-NO"/>
        </w:rPr>
        <w:t>, samt</w:t>
      </w:r>
      <w:r w:rsidR="00973B40">
        <w:rPr>
          <w:lang w:val="nb-NO"/>
        </w:rPr>
        <w:t xml:space="preserve"> </w:t>
      </w:r>
      <w:r w:rsidR="003F5B4C">
        <w:rPr>
          <w:lang w:val="nb-NO"/>
        </w:rPr>
        <w:t>sambruks</w:t>
      </w:r>
      <w:r w:rsidR="004E0C1E">
        <w:rPr>
          <w:lang w:val="nb-NO"/>
        </w:rPr>
        <w:t xml:space="preserve">potensiale </w:t>
      </w:r>
      <w:r w:rsidR="00973B40">
        <w:rPr>
          <w:lang w:val="nb-NO"/>
        </w:rPr>
        <w:t>i tilknytning til skole/bydelsbibliotek.</w:t>
      </w:r>
      <w:r w:rsidR="0021746E">
        <w:rPr>
          <w:lang w:val="nb-NO"/>
        </w:rPr>
        <w:t xml:space="preserve"> </w:t>
      </w:r>
    </w:p>
    <w:p w14:paraId="738CCE25" w14:textId="2D8CEFAC" w:rsidR="009D5FBC" w:rsidRDefault="009D5FBC">
      <w:pPr>
        <w:rPr>
          <w:lang w:val="nb-NO"/>
        </w:rPr>
      </w:pPr>
    </w:p>
    <w:p w14:paraId="328F747E" w14:textId="47677D8E" w:rsidR="00DE3013" w:rsidRDefault="00DE3013">
      <w:pPr>
        <w:rPr>
          <w:lang w:val="nb-NO"/>
        </w:rPr>
      </w:pPr>
    </w:p>
    <w:p w14:paraId="3E2A69FE" w14:textId="4FE18E60" w:rsidR="0073673F" w:rsidRPr="00921662" w:rsidRDefault="0073673F" w:rsidP="0073673F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t xml:space="preserve">Sosioøkonomiske forhold </w:t>
      </w:r>
    </w:p>
    <w:p w14:paraId="25923FE5" w14:textId="73AF303A" w:rsidR="007D2F6A" w:rsidRDefault="001C16C3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74624" behindDoc="1" locked="0" layoutInCell="1" allowOverlap="1" wp14:anchorId="7652A0C1" wp14:editId="4B4E412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456940" cy="2920365"/>
            <wp:effectExtent l="0" t="0" r="0" b="0"/>
            <wp:wrapTight wrapText="bothSides">
              <wp:wrapPolygon edited="0">
                <wp:start x="0" y="0"/>
                <wp:lineTo x="0" y="21417"/>
                <wp:lineTo x="21425" y="21417"/>
                <wp:lineTo x="21425" y="0"/>
                <wp:lineTo x="0" y="0"/>
              </wp:wrapPolygon>
            </wp:wrapTight>
            <wp:docPr id="35" name="Bil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8F9">
        <w:rPr>
          <w:lang w:val="nb-NO"/>
        </w:rPr>
        <w:t>S</w:t>
      </w:r>
      <w:r w:rsidR="000A00A4">
        <w:rPr>
          <w:lang w:val="nb-NO"/>
        </w:rPr>
        <w:t xml:space="preserve">osioøkonomiske forhold </w:t>
      </w:r>
      <w:r w:rsidR="00CB0308">
        <w:rPr>
          <w:lang w:val="nb-NO"/>
        </w:rPr>
        <w:t>er relativt stabile, derfor pres</w:t>
      </w:r>
      <w:r w:rsidR="004038DA">
        <w:rPr>
          <w:lang w:val="nb-NO"/>
        </w:rPr>
        <w:t>e</w:t>
      </w:r>
      <w:r w:rsidR="00CB0308">
        <w:rPr>
          <w:lang w:val="nb-NO"/>
        </w:rPr>
        <w:t>nterer vil</w:t>
      </w:r>
      <w:r w:rsidR="004038DA">
        <w:rPr>
          <w:lang w:val="nb-NO"/>
        </w:rPr>
        <w:t xml:space="preserve"> det vi har fra noen få år tilbake.</w:t>
      </w:r>
      <w:r w:rsidR="00E62865">
        <w:rPr>
          <w:lang w:val="nb-NO"/>
        </w:rPr>
        <w:t xml:space="preserve"> Vi indekserer mot kommunesnittet på samme måte som forklart tidligere.</w:t>
      </w:r>
    </w:p>
    <w:p w14:paraId="5CECED82" w14:textId="2F55202B" w:rsidR="000520AA" w:rsidRDefault="00B7128F">
      <w:pPr>
        <w:rPr>
          <w:lang w:val="nb-NO"/>
        </w:rPr>
      </w:pPr>
      <w:r>
        <w:rPr>
          <w:lang w:val="nb-NO"/>
        </w:rPr>
        <w:t xml:space="preserve">Vi ser at </w:t>
      </w:r>
      <w:r w:rsidR="001C16C3">
        <w:rPr>
          <w:lang w:val="nb-NO"/>
        </w:rPr>
        <w:t>Hellemyr</w:t>
      </w:r>
      <w:r w:rsidR="009757D4">
        <w:rPr>
          <w:lang w:val="nb-NO"/>
        </w:rPr>
        <w:t xml:space="preserve"> sett under ett - </w:t>
      </w:r>
      <w:r>
        <w:rPr>
          <w:lang w:val="nb-NO"/>
        </w:rPr>
        <w:t xml:space="preserve">har </w:t>
      </w:r>
      <w:r w:rsidR="00F618D1">
        <w:rPr>
          <w:lang w:val="nb-NO"/>
        </w:rPr>
        <w:t>større</w:t>
      </w:r>
      <w:r w:rsidR="009757D4">
        <w:rPr>
          <w:lang w:val="nb-NO"/>
        </w:rPr>
        <w:t xml:space="preserve"> innsla</w:t>
      </w:r>
      <w:r w:rsidR="001272FF">
        <w:rPr>
          <w:lang w:val="nb-NO"/>
        </w:rPr>
        <w:t>g av</w:t>
      </w:r>
      <w:r>
        <w:rPr>
          <w:lang w:val="nb-NO"/>
        </w:rPr>
        <w:t xml:space="preserve"> barn </w:t>
      </w:r>
      <w:r w:rsidR="009D7202">
        <w:rPr>
          <w:lang w:val="nb-NO"/>
        </w:rPr>
        <w:t>av ikke-vestlig mor</w:t>
      </w:r>
      <w:r w:rsidR="00383578">
        <w:rPr>
          <w:lang w:val="nb-NO"/>
        </w:rPr>
        <w:t xml:space="preserve">, </w:t>
      </w:r>
      <w:r w:rsidR="00F94640">
        <w:rPr>
          <w:lang w:val="nb-NO"/>
        </w:rPr>
        <w:t>samme utslag i nyere data fra 2018, særlig for Hellemyr Syd</w:t>
      </w:r>
      <w:r w:rsidR="006659F5">
        <w:rPr>
          <w:lang w:val="nb-NO"/>
        </w:rPr>
        <w:t xml:space="preserve"> fr</w:t>
      </w:r>
      <w:r w:rsidR="002555BA">
        <w:rPr>
          <w:lang w:val="nb-NO"/>
        </w:rPr>
        <w:t>a</w:t>
      </w:r>
      <w:r w:rsidR="006659F5">
        <w:rPr>
          <w:lang w:val="nb-NO"/>
        </w:rPr>
        <w:t xml:space="preserve"> senter</w:t>
      </w:r>
      <w:r w:rsidR="00396852">
        <w:rPr>
          <w:lang w:val="nb-NO"/>
        </w:rPr>
        <w:t>e</w:t>
      </w:r>
      <w:r w:rsidR="006659F5">
        <w:rPr>
          <w:lang w:val="nb-NO"/>
        </w:rPr>
        <w:t xml:space="preserve">t og </w:t>
      </w:r>
      <w:proofErr w:type="spellStart"/>
      <w:r w:rsidR="006659F5">
        <w:rPr>
          <w:lang w:val="nb-NO"/>
        </w:rPr>
        <w:t>syd</w:t>
      </w:r>
      <w:r w:rsidR="00BB750E">
        <w:rPr>
          <w:lang w:val="nb-NO"/>
        </w:rPr>
        <w:t>øst</w:t>
      </w:r>
      <w:r w:rsidR="006659F5">
        <w:rPr>
          <w:lang w:val="nb-NO"/>
        </w:rPr>
        <w:t>over</w:t>
      </w:r>
      <w:proofErr w:type="spellEnd"/>
      <w:r w:rsidR="00BB750E">
        <w:rPr>
          <w:lang w:val="nb-NO"/>
        </w:rPr>
        <w:t>. Her</w:t>
      </w:r>
      <w:r w:rsidR="005E73B3">
        <w:rPr>
          <w:lang w:val="nb-NO"/>
        </w:rPr>
        <w:t xml:space="preserve"> finner vi også </w:t>
      </w:r>
      <w:r w:rsidR="001E280F">
        <w:rPr>
          <w:lang w:val="nb-NO"/>
        </w:rPr>
        <w:t xml:space="preserve">utfra nyere data </w:t>
      </w:r>
      <w:r w:rsidR="00121B58">
        <w:rPr>
          <w:lang w:val="nb-NO"/>
        </w:rPr>
        <w:t>noe større innslag av foreldre med lav utdannelse (grunnskole som høyeste utdannelse</w:t>
      </w:r>
      <w:r w:rsidR="005504F8">
        <w:rPr>
          <w:lang w:val="nb-NO"/>
        </w:rPr>
        <w:t>)</w:t>
      </w:r>
      <w:r w:rsidR="009D7202">
        <w:rPr>
          <w:lang w:val="nb-NO"/>
        </w:rPr>
        <w:t>.</w:t>
      </w:r>
      <w:r w:rsidR="0034018B">
        <w:rPr>
          <w:lang w:val="nb-NO"/>
        </w:rPr>
        <w:t xml:space="preserve"> </w:t>
      </w:r>
      <w:r w:rsidR="004E36FF">
        <w:rPr>
          <w:lang w:val="nb-NO"/>
        </w:rPr>
        <w:t xml:space="preserve">Bomiljøet </w:t>
      </w:r>
      <w:r w:rsidR="006A7701">
        <w:rPr>
          <w:lang w:val="nb-NO"/>
        </w:rPr>
        <w:t xml:space="preserve">var i </w:t>
      </w:r>
      <w:r w:rsidR="00F83312">
        <w:rPr>
          <w:lang w:val="nb-NO"/>
        </w:rPr>
        <w:t xml:space="preserve">2013 noe </w:t>
      </w:r>
      <w:r w:rsidR="00121B58">
        <w:rPr>
          <w:lang w:val="nb-NO"/>
        </w:rPr>
        <w:t>mer</w:t>
      </w:r>
      <w:r w:rsidR="00F83312">
        <w:rPr>
          <w:lang w:val="nb-NO"/>
        </w:rPr>
        <w:t xml:space="preserve"> stabilt</w:t>
      </w:r>
      <w:r w:rsidR="004B2593">
        <w:rPr>
          <w:lang w:val="nb-NO"/>
        </w:rPr>
        <w:t xml:space="preserve"> enn snitt for kommunen,</w:t>
      </w:r>
      <w:r w:rsidR="00F83312">
        <w:rPr>
          <w:lang w:val="nb-NO"/>
        </w:rPr>
        <w:t xml:space="preserve"> målt utfra utflytting barn 0-5</w:t>
      </w:r>
      <w:r w:rsidR="004B2593">
        <w:rPr>
          <w:lang w:val="nb-NO"/>
        </w:rPr>
        <w:t xml:space="preserve">år. </w:t>
      </w:r>
      <w:r w:rsidR="00A04240">
        <w:rPr>
          <w:lang w:val="nb-NO"/>
        </w:rPr>
        <w:t>Utflytting barn 0-6 var i 2018 litt lavere enn kommunesnittet</w:t>
      </w:r>
      <w:r w:rsidR="000520AA">
        <w:rPr>
          <w:lang w:val="nb-NO"/>
        </w:rPr>
        <w:t>.</w:t>
      </w:r>
    </w:p>
    <w:p w14:paraId="1E46745B" w14:textId="7E003453" w:rsidR="00090519" w:rsidRDefault="00090519" w:rsidP="00090519">
      <w:pPr>
        <w:rPr>
          <w:lang w:val="nb-NO"/>
        </w:rPr>
      </w:pPr>
      <w:r w:rsidRPr="00264E55">
        <w:rPr>
          <w:i/>
          <w:iCs/>
          <w:lang w:val="nb-NO"/>
        </w:rPr>
        <w:t>Ikke gift 30-49 år</w:t>
      </w:r>
      <w:r>
        <w:rPr>
          <w:lang w:val="nb-NO"/>
        </w:rPr>
        <w:t xml:space="preserve"> er </w:t>
      </w:r>
      <w:r w:rsidR="00FB4FED">
        <w:rPr>
          <w:lang w:val="nb-NO"/>
        </w:rPr>
        <w:t xml:space="preserve">noe lavere enn </w:t>
      </w:r>
      <w:r>
        <w:rPr>
          <w:lang w:val="nb-NO"/>
        </w:rPr>
        <w:t>snittet for KRS. Dette gjelder begge kjønn. Indeksen betraktes som interessant fra faglig hold, men er noe metodisk utsatt etter at samboerskap er blitt mer utbredt.</w:t>
      </w:r>
    </w:p>
    <w:p w14:paraId="191A91AF" w14:textId="702EC75C" w:rsidR="00EB6539" w:rsidRDefault="000520AA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75648" behindDoc="1" locked="0" layoutInCell="1" allowOverlap="1" wp14:anchorId="48C6A86C" wp14:editId="3DFD3249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547870" cy="2767965"/>
            <wp:effectExtent l="0" t="0" r="5080" b="0"/>
            <wp:wrapTight wrapText="bothSides">
              <wp:wrapPolygon edited="0">
                <wp:start x="0" y="0"/>
                <wp:lineTo x="0" y="21407"/>
                <wp:lineTo x="21534" y="21407"/>
                <wp:lineTo x="21534" y="0"/>
                <wp:lineTo x="0" y="0"/>
              </wp:wrapPolygon>
            </wp:wrapTight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nb-NO"/>
        </w:rPr>
        <w:t>Hellemyr har hatt den mest markante</w:t>
      </w:r>
      <w:r w:rsidR="005110DA">
        <w:rPr>
          <w:lang w:val="nb-NO"/>
        </w:rPr>
        <w:t xml:space="preserve"> relative</w:t>
      </w:r>
      <w:r>
        <w:rPr>
          <w:lang w:val="nb-NO"/>
        </w:rPr>
        <w:t xml:space="preserve"> økningen i barn av ikke-vestlig mor siden 1994</w:t>
      </w:r>
      <w:r w:rsidR="00EB6539">
        <w:rPr>
          <w:lang w:val="nb-NO"/>
        </w:rPr>
        <w:t>.</w:t>
      </w:r>
    </w:p>
    <w:p w14:paraId="5F7A66F8" w14:textId="6AB1E3CE" w:rsidR="005504F8" w:rsidRDefault="005504F8">
      <w:pPr>
        <w:rPr>
          <w:lang w:val="nb-NO"/>
        </w:rPr>
      </w:pPr>
      <w:r>
        <w:rPr>
          <w:lang w:val="nb-NO"/>
        </w:rPr>
        <w:t xml:space="preserve">Litt grovt betraktet kan vi si at Hellemyr Nord </w:t>
      </w:r>
      <w:r w:rsidR="00DE2AE8">
        <w:rPr>
          <w:lang w:val="nb-NO"/>
        </w:rPr>
        <w:t>skårer noe over</w:t>
      </w:r>
      <w:r>
        <w:rPr>
          <w:lang w:val="nb-NO"/>
        </w:rPr>
        <w:t xml:space="preserve"> </w:t>
      </w:r>
      <w:r w:rsidR="00B4659E">
        <w:rPr>
          <w:lang w:val="nb-NO"/>
        </w:rPr>
        <w:t>kommunesnittet</w:t>
      </w:r>
      <w:r>
        <w:rPr>
          <w:lang w:val="nb-NO"/>
        </w:rPr>
        <w:t xml:space="preserve"> m</w:t>
      </w:r>
      <w:proofErr w:type="spellStart"/>
      <w:r>
        <w:rPr>
          <w:lang w:val="nb-NO"/>
        </w:rPr>
        <w:t>ht</w:t>
      </w:r>
      <w:proofErr w:type="spellEnd"/>
      <w:r>
        <w:rPr>
          <w:lang w:val="nb-NO"/>
        </w:rPr>
        <w:t xml:space="preserve"> levekår</w:t>
      </w:r>
      <w:r w:rsidR="00AC4FC2">
        <w:rPr>
          <w:lang w:val="nb-NO"/>
        </w:rPr>
        <w:t xml:space="preserve">, mens </w:t>
      </w:r>
      <w:proofErr w:type="spellStart"/>
      <w:r w:rsidR="00AC4FC2">
        <w:rPr>
          <w:lang w:val="nb-NO"/>
        </w:rPr>
        <w:t>Hellmyr</w:t>
      </w:r>
      <w:proofErr w:type="spellEnd"/>
      <w:r w:rsidR="00AC4FC2">
        <w:rPr>
          <w:lang w:val="nb-NO"/>
        </w:rPr>
        <w:t xml:space="preserve"> Syd</w:t>
      </w:r>
      <w:r w:rsidR="004A2699">
        <w:rPr>
          <w:lang w:val="nb-NO"/>
        </w:rPr>
        <w:t xml:space="preserve"> </w:t>
      </w:r>
      <w:r w:rsidR="00E41C53">
        <w:rPr>
          <w:lang w:val="nb-NO"/>
        </w:rPr>
        <w:t>(sydøst)</w:t>
      </w:r>
      <w:r w:rsidR="00AC4FC2">
        <w:rPr>
          <w:lang w:val="nb-NO"/>
        </w:rPr>
        <w:t xml:space="preserve"> </w:t>
      </w:r>
      <w:r w:rsidR="00ED68B1">
        <w:rPr>
          <w:lang w:val="nb-NO"/>
        </w:rPr>
        <w:t>skårer noe</w:t>
      </w:r>
      <w:r w:rsidR="00D46838">
        <w:rPr>
          <w:lang w:val="nb-NO"/>
        </w:rPr>
        <w:t xml:space="preserve"> lavere </w:t>
      </w:r>
      <w:r w:rsidR="00AC4FC2">
        <w:rPr>
          <w:lang w:val="nb-NO"/>
        </w:rPr>
        <w:t>enn</w:t>
      </w:r>
      <w:r w:rsidR="00684243">
        <w:rPr>
          <w:lang w:val="nb-NO"/>
        </w:rPr>
        <w:t xml:space="preserve"> snittet for KRS</w:t>
      </w:r>
      <w:r w:rsidR="00664AD1">
        <w:rPr>
          <w:lang w:val="nb-NO"/>
        </w:rPr>
        <w:t>.</w:t>
      </w:r>
    </w:p>
    <w:p w14:paraId="457D4794" w14:textId="06FA4645" w:rsidR="00664AD1" w:rsidRDefault="00664AD1">
      <w:pPr>
        <w:rPr>
          <w:lang w:val="nb-NO"/>
        </w:rPr>
      </w:pPr>
      <w:r>
        <w:rPr>
          <w:lang w:val="nb-NO"/>
        </w:rPr>
        <w:t xml:space="preserve">Totalt sett </w:t>
      </w:r>
      <w:r w:rsidR="00107DA3">
        <w:rPr>
          <w:lang w:val="nb-NO"/>
        </w:rPr>
        <w:t>kommer Hellemyr</w:t>
      </w:r>
      <w:r w:rsidR="0090557F">
        <w:rPr>
          <w:lang w:val="nb-NO"/>
        </w:rPr>
        <w:t xml:space="preserve"> relativ normalt ut, og kan ikke betegnes som typisk belastet.</w:t>
      </w:r>
    </w:p>
    <w:p w14:paraId="18BAFF46" w14:textId="055941FE" w:rsidR="00B91C5D" w:rsidRDefault="00B91C5D">
      <w:pPr>
        <w:rPr>
          <w:lang w:val="nb-NO"/>
        </w:rPr>
      </w:pPr>
    </w:p>
    <w:p w14:paraId="2229AAE8" w14:textId="78B0485E" w:rsidR="00B91C5D" w:rsidRDefault="00B91C5D">
      <w:pPr>
        <w:rPr>
          <w:lang w:val="nb-NO"/>
        </w:rPr>
      </w:pPr>
    </w:p>
    <w:p w14:paraId="1B79B471" w14:textId="6E6A3446" w:rsidR="00D517B5" w:rsidRPr="00121B58" w:rsidRDefault="00F91BCE" w:rsidP="00E9261A">
      <w:pPr>
        <w:rPr>
          <w:sz w:val="24"/>
          <w:szCs w:val="24"/>
          <w:lang w:val="nb-NO"/>
        </w:rPr>
      </w:pPr>
      <w:r>
        <w:rPr>
          <w:lang w:val="nb-NO"/>
        </w:rPr>
        <w:t xml:space="preserve">Vi har </w:t>
      </w:r>
      <w:r w:rsidR="00C504F5">
        <w:rPr>
          <w:lang w:val="nb-NO"/>
        </w:rPr>
        <w:t xml:space="preserve">nevnt </w:t>
      </w:r>
      <w:r>
        <w:rPr>
          <w:lang w:val="nb-NO"/>
        </w:rPr>
        <w:t>en del nyere data fra 2018</w:t>
      </w:r>
      <w:r w:rsidR="004C7445">
        <w:rPr>
          <w:lang w:val="nb-NO"/>
        </w:rPr>
        <w:t xml:space="preserve">, som er en kommunepakke SSB tilbyr kommunene. </w:t>
      </w:r>
      <w:r w:rsidR="00A15120">
        <w:rPr>
          <w:lang w:val="nb-NO"/>
        </w:rPr>
        <w:t xml:space="preserve">For dette formål har vi delt inn nye KRS i 50 levekårssoner. </w:t>
      </w:r>
      <w:r w:rsidR="00E9261A">
        <w:rPr>
          <w:lang w:val="nb-NO"/>
        </w:rPr>
        <w:t xml:space="preserve">Som nevnt er Hellemyr delt inn i to levekårssoner: Hellemyr Nord og Hellemyr Syd. </w:t>
      </w:r>
    </w:p>
    <w:p w14:paraId="506C1659" w14:textId="6B028B5C" w:rsidR="00805BE3" w:rsidRDefault="00805BE3" w:rsidP="00EE5C99">
      <w:pPr>
        <w:rPr>
          <w:lang w:val="nb-NO"/>
        </w:rPr>
      </w:pPr>
      <w:r>
        <w:rPr>
          <w:lang w:val="nb-NO"/>
        </w:rPr>
        <w:t>Av indikatore</w:t>
      </w:r>
      <w:r w:rsidR="00594D92">
        <w:rPr>
          <w:lang w:val="nb-NO"/>
        </w:rPr>
        <w:t>ne vi har fått kan vi nevne følgende sentrale:</w:t>
      </w:r>
    </w:p>
    <w:p w14:paraId="2B5C712E" w14:textId="2027371A" w:rsidR="00EE5C99" w:rsidRPr="00004946" w:rsidRDefault="00846DF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Ikke oppnådd kompetanse</w:t>
      </w:r>
      <w:r w:rsidR="0034675E" w:rsidRPr="00004946">
        <w:rPr>
          <w:lang w:val="nb-NO"/>
        </w:rPr>
        <w:t xml:space="preserve"> i løpet av 5 år</w:t>
      </w:r>
      <w:r w:rsidR="007C608A" w:rsidRPr="00004946">
        <w:rPr>
          <w:lang w:val="nb-NO"/>
        </w:rPr>
        <w:t xml:space="preserve"> etter </w:t>
      </w:r>
      <w:r w:rsidR="00FC1BE4" w:rsidRPr="00004946">
        <w:rPr>
          <w:lang w:val="nb-NO"/>
        </w:rPr>
        <w:t>grunnskolen.</w:t>
      </w:r>
    </w:p>
    <w:p w14:paraId="59F7C158" w14:textId="77777777" w:rsidR="00D50C98" w:rsidRDefault="00B5479D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Barn i lavinntektshusholdninger (EU60)</w:t>
      </w:r>
      <w:r w:rsidR="000C5991" w:rsidRPr="00004946">
        <w:rPr>
          <w:lang w:val="nb-NO"/>
        </w:rPr>
        <w:t xml:space="preserve"> </w:t>
      </w:r>
    </w:p>
    <w:p w14:paraId="34100FA1" w14:textId="3999BD16" w:rsidR="000C5991" w:rsidRPr="00004946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Mottagere av arbeidsavklaringspenger (18-66år)</w:t>
      </w:r>
    </w:p>
    <w:p w14:paraId="67346D40" w14:textId="7EDC3411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Registrert arbeidsledighet</w:t>
      </w:r>
    </w:p>
    <w:p w14:paraId="61502151" w14:textId="012CE796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Registrert ungdomsledighet</w:t>
      </w:r>
    </w:p>
    <w:p w14:paraId="5A1AFDEF" w14:textId="4E1E37DE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lastRenderedPageBreak/>
        <w:t>Sosialhjelpsmottagere</w:t>
      </w:r>
    </w:p>
    <w:p w14:paraId="588CAE09" w14:textId="4E4142C6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Unge uførepensjonister</w:t>
      </w:r>
    </w:p>
    <w:p w14:paraId="27FD84E9" w14:textId="18C35B08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Overgangsstønad (16-39 år)</w:t>
      </w:r>
    </w:p>
    <w:p w14:paraId="577CF3A3" w14:textId="42B60630" w:rsidR="00C119E8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Barn med barnevernstiltak</w:t>
      </w:r>
    </w:p>
    <w:p w14:paraId="033B2499" w14:textId="77472624" w:rsidR="006D2A39" w:rsidRDefault="00DF55F4" w:rsidP="0033056A">
      <w:pPr>
        <w:rPr>
          <w:lang w:val="nb-NO"/>
        </w:rPr>
      </w:pPr>
      <w:r>
        <w:rPr>
          <w:lang w:val="nb-NO"/>
        </w:rPr>
        <w:t xml:space="preserve">Det vil føre for langt å gå igjennom alle indikatorene for alle sonene i </w:t>
      </w:r>
      <w:r w:rsidR="00E80365">
        <w:rPr>
          <w:lang w:val="nb-NO"/>
        </w:rPr>
        <w:t>Hellemy</w:t>
      </w:r>
      <w:r w:rsidR="00EF414D">
        <w:rPr>
          <w:lang w:val="nb-NO"/>
        </w:rPr>
        <w:t>r</w:t>
      </w:r>
      <w:r w:rsidR="009C0570">
        <w:rPr>
          <w:lang w:val="nb-NO"/>
        </w:rPr>
        <w:t>. Vi kan nevne at</w:t>
      </w:r>
      <w:r w:rsidR="00771162">
        <w:rPr>
          <w:lang w:val="nb-NO"/>
        </w:rPr>
        <w:t xml:space="preserve"> utslagene er rimelig i tråd med </w:t>
      </w:r>
      <w:r w:rsidR="00FB70A5">
        <w:rPr>
          <w:lang w:val="nb-NO"/>
        </w:rPr>
        <w:t xml:space="preserve">de vi ser i tidligere dataleveranser. Eksempelvis </w:t>
      </w:r>
      <w:r w:rsidR="00EE72CF">
        <w:rPr>
          <w:lang w:val="nb-NO"/>
        </w:rPr>
        <w:t xml:space="preserve">er det </w:t>
      </w:r>
      <w:r w:rsidR="00121B58">
        <w:rPr>
          <w:lang w:val="nb-NO"/>
        </w:rPr>
        <w:t>flere</w:t>
      </w:r>
      <w:r w:rsidR="00EE72CF">
        <w:rPr>
          <w:lang w:val="nb-NO"/>
        </w:rPr>
        <w:t xml:space="preserve"> unge </w:t>
      </w:r>
      <w:r w:rsidR="008410ED">
        <w:rPr>
          <w:lang w:val="nb-NO"/>
        </w:rPr>
        <w:t>21-29</w:t>
      </w:r>
      <w:r w:rsidR="00B6054F">
        <w:rPr>
          <w:lang w:val="nb-NO"/>
        </w:rPr>
        <w:t xml:space="preserve"> år på </w:t>
      </w:r>
      <w:r w:rsidR="00D465EC">
        <w:rPr>
          <w:lang w:val="nb-NO"/>
        </w:rPr>
        <w:t>Hellemyr</w:t>
      </w:r>
      <w:r w:rsidR="00121B58">
        <w:rPr>
          <w:lang w:val="nb-NO"/>
        </w:rPr>
        <w:t xml:space="preserve"> </w:t>
      </w:r>
      <w:r w:rsidR="00D465EC">
        <w:rPr>
          <w:lang w:val="nb-NO"/>
        </w:rPr>
        <w:t>Syd</w:t>
      </w:r>
      <w:r w:rsidR="00B6054F">
        <w:rPr>
          <w:lang w:val="nb-NO"/>
        </w:rPr>
        <w:t xml:space="preserve"> som ikke har oppnådd studiekompetanse</w:t>
      </w:r>
      <w:r w:rsidR="00121B58">
        <w:rPr>
          <w:lang w:val="nb-NO"/>
        </w:rPr>
        <w:t xml:space="preserve"> (3</w:t>
      </w:r>
      <w:r w:rsidR="00A76438">
        <w:rPr>
          <w:lang w:val="nb-NO"/>
        </w:rPr>
        <w:t>5,8</w:t>
      </w:r>
      <w:r w:rsidR="00121B58">
        <w:rPr>
          <w:lang w:val="nb-NO"/>
        </w:rPr>
        <w:t>%)</w:t>
      </w:r>
      <w:r w:rsidR="00B6054F">
        <w:rPr>
          <w:lang w:val="nb-NO"/>
        </w:rPr>
        <w:t>, men</w:t>
      </w:r>
      <w:r w:rsidR="009F77DF">
        <w:rPr>
          <w:lang w:val="nb-NO"/>
        </w:rPr>
        <w:t>s</w:t>
      </w:r>
      <w:r w:rsidR="00B6054F">
        <w:rPr>
          <w:lang w:val="nb-NO"/>
        </w:rPr>
        <w:t xml:space="preserve"> det gjelder </w:t>
      </w:r>
      <w:r w:rsidR="00A76438">
        <w:rPr>
          <w:lang w:val="nb-NO"/>
        </w:rPr>
        <w:t>28,5</w:t>
      </w:r>
      <w:r w:rsidR="00C14FBA">
        <w:rPr>
          <w:lang w:val="nb-NO"/>
        </w:rPr>
        <w:t xml:space="preserve"> p</w:t>
      </w:r>
      <w:r w:rsidR="00586C7F">
        <w:rPr>
          <w:lang w:val="nb-NO"/>
        </w:rPr>
        <w:t xml:space="preserve">å </w:t>
      </w:r>
      <w:r w:rsidR="00C14FBA">
        <w:rPr>
          <w:lang w:val="nb-NO"/>
        </w:rPr>
        <w:t>Hellemyr Nord</w:t>
      </w:r>
      <w:r w:rsidR="00586C7F">
        <w:rPr>
          <w:lang w:val="nb-NO"/>
        </w:rPr>
        <w:t>, mot 2</w:t>
      </w:r>
      <w:r w:rsidR="00C14FBA">
        <w:rPr>
          <w:lang w:val="nb-NO"/>
        </w:rPr>
        <w:t>6</w:t>
      </w:r>
      <w:r w:rsidR="00586C7F">
        <w:rPr>
          <w:lang w:val="nb-NO"/>
        </w:rPr>
        <w:t>% for hele kommunen.</w:t>
      </w:r>
      <w:r w:rsidR="007773B8" w:rsidRPr="007773B8">
        <w:rPr>
          <w:lang w:val="nb-NO"/>
        </w:rPr>
        <w:t xml:space="preserve"> </w:t>
      </w:r>
      <w:r w:rsidR="007773B8">
        <w:rPr>
          <w:lang w:val="nb-NO"/>
        </w:rPr>
        <w:t xml:space="preserve">Vi finner de samme </w:t>
      </w:r>
      <w:r w:rsidR="00466286">
        <w:rPr>
          <w:lang w:val="nb-NO"/>
        </w:rPr>
        <w:t>utslag</w:t>
      </w:r>
      <w:r w:rsidR="00D340DB">
        <w:rPr>
          <w:lang w:val="nb-NO"/>
        </w:rPr>
        <w:t xml:space="preserve"> innen Hellemyr</w:t>
      </w:r>
      <w:r w:rsidR="007773B8">
        <w:rPr>
          <w:lang w:val="nb-NO"/>
        </w:rPr>
        <w:t xml:space="preserve"> når det gjelder barn i lavinntektshusholdninger</w:t>
      </w:r>
      <w:r w:rsidR="006127C7">
        <w:rPr>
          <w:lang w:val="nb-NO"/>
        </w:rPr>
        <w:t>, barn med barnevernstiltak</w:t>
      </w:r>
      <w:r w:rsidR="00274C3B">
        <w:rPr>
          <w:lang w:val="nb-NO"/>
        </w:rPr>
        <w:t>, og andel sosialhjelpstilfeller i befolkningen.</w:t>
      </w:r>
      <w:r w:rsidR="00E80365">
        <w:rPr>
          <w:lang w:val="nb-NO"/>
        </w:rPr>
        <w:t xml:space="preserve"> (dataene er offentlig tilgjengelige, sendes på forespørsel)</w:t>
      </w:r>
    </w:p>
    <w:p w14:paraId="73F7A570" w14:textId="522908EC" w:rsidR="007D2F6A" w:rsidRPr="00921662" w:rsidRDefault="00FC1BE4" w:rsidP="000E2218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t xml:space="preserve">Sosioøkonomisk indeks i </w:t>
      </w:r>
      <w:r w:rsidR="000E2218" w:rsidRPr="00921662">
        <w:rPr>
          <w:b/>
          <w:lang w:val="nb-NO"/>
        </w:rPr>
        <w:t>grunnskolen</w:t>
      </w:r>
    </w:p>
    <w:p w14:paraId="2A90C15A" w14:textId="1BD0B838" w:rsidR="00015967" w:rsidRDefault="005233DC" w:rsidP="000E2218">
      <w:pPr>
        <w:rPr>
          <w:lang w:val="nb-NO"/>
        </w:rPr>
      </w:pPr>
      <w:r w:rsidRPr="00865E30">
        <w:rPr>
          <w:iCs/>
          <w:lang w:val="nb-NO"/>
        </w:rPr>
        <w:t>For å fange opp ulik belastning i grunnskolen bruker vi følgende kriter</w:t>
      </w:r>
      <w:r w:rsidR="00865E30">
        <w:rPr>
          <w:iCs/>
          <w:lang w:val="nb-NO"/>
        </w:rPr>
        <w:t>i</w:t>
      </w:r>
      <w:r w:rsidRPr="00865E30">
        <w:rPr>
          <w:iCs/>
          <w:lang w:val="nb-NO"/>
        </w:rPr>
        <w:t>er</w:t>
      </w:r>
      <w:r w:rsidR="00865E30" w:rsidRPr="00865E30">
        <w:rPr>
          <w:iCs/>
          <w:lang w:val="nb-NO"/>
        </w:rPr>
        <w:t>:</w:t>
      </w:r>
      <w:r w:rsidR="00865E30">
        <w:rPr>
          <w:i/>
          <w:lang w:val="nb-NO"/>
        </w:rPr>
        <w:t xml:space="preserve"> </w:t>
      </w:r>
      <w:r w:rsidR="00193E06" w:rsidRPr="00533443">
        <w:rPr>
          <w:i/>
          <w:lang w:val="nb-NO"/>
        </w:rPr>
        <w:t>U</w:t>
      </w:r>
      <w:r w:rsidR="000E2218" w:rsidRPr="00533443">
        <w:rPr>
          <w:i/>
          <w:lang w:val="nb-NO"/>
        </w:rPr>
        <w:t xml:space="preserve">tflytting </w:t>
      </w:r>
      <w:r w:rsidR="00533443" w:rsidRPr="00533443">
        <w:rPr>
          <w:i/>
          <w:lang w:val="nb-NO"/>
        </w:rPr>
        <w:t>0-15 år</w:t>
      </w:r>
      <w:r w:rsidR="00533443">
        <w:rPr>
          <w:lang w:val="nb-NO"/>
        </w:rPr>
        <w:t xml:space="preserve"> </w:t>
      </w:r>
      <w:r w:rsidR="000E2218">
        <w:rPr>
          <w:lang w:val="nb-NO"/>
        </w:rPr>
        <w:t xml:space="preserve">er vektet forholdsvis beskjedent i </w:t>
      </w:r>
      <w:r w:rsidR="00CB025C">
        <w:rPr>
          <w:lang w:val="nb-NO"/>
        </w:rPr>
        <w:t>indeks</w:t>
      </w:r>
      <w:r w:rsidR="00533443">
        <w:rPr>
          <w:lang w:val="nb-NO"/>
        </w:rPr>
        <w:t>e</w:t>
      </w:r>
      <w:r w:rsidR="00CB025C">
        <w:rPr>
          <w:lang w:val="nb-NO"/>
        </w:rPr>
        <w:t xml:space="preserve">n for belastning i skolen, og </w:t>
      </w:r>
      <w:r w:rsidR="00CB025C" w:rsidRPr="00533443">
        <w:rPr>
          <w:i/>
          <w:lang w:val="nb-NO"/>
        </w:rPr>
        <w:t>familiestruktur</w:t>
      </w:r>
      <w:r w:rsidR="001C6DCA">
        <w:rPr>
          <w:lang w:val="nb-NO"/>
        </w:rPr>
        <w:t xml:space="preserve"> og særlig </w:t>
      </w:r>
      <w:r w:rsidR="001C6DCA" w:rsidRPr="00533443">
        <w:rPr>
          <w:i/>
          <w:lang w:val="nb-NO"/>
        </w:rPr>
        <w:t>utdannelse bak hvert barn</w:t>
      </w:r>
      <w:r w:rsidR="001C6DCA">
        <w:rPr>
          <w:lang w:val="nb-NO"/>
        </w:rPr>
        <w:t xml:space="preserve"> er vektet betydelig mer</w:t>
      </w:r>
      <w:r w:rsidR="00865E30">
        <w:rPr>
          <w:lang w:val="nb-NO"/>
        </w:rPr>
        <w:t xml:space="preserve">. </w:t>
      </w:r>
      <w:r w:rsidR="002A4897">
        <w:rPr>
          <w:lang w:val="nb-NO"/>
        </w:rPr>
        <w:t>Utfra dette kriterie</w:t>
      </w:r>
      <w:r w:rsidR="002A4897" w:rsidRPr="00C62295">
        <w:rPr>
          <w:i/>
          <w:iCs/>
          <w:lang w:val="nb-NO"/>
        </w:rPr>
        <w:t>valget</w:t>
      </w:r>
      <w:r w:rsidR="002A4897">
        <w:rPr>
          <w:lang w:val="nb-NO"/>
        </w:rPr>
        <w:t xml:space="preserve"> konstruerer vi en samleindeks</w:t>
      </w:r>
      <w:r w:rsidR="00015967">
        <w:rPr>
          <w:lang w:val="nb-NO"/>
        </w:rPr>
        <w:t>, som utt</w:t>
      </w:r>
      <w:r w:rsidR="0078334D">
        <w:rPr>
          <w:lang w:val="nb-NO"/>
        </w:rPr>
        <w:t>r</w:t>
      </w:r>
      <w:r w:rsidR="00015967">
        <w:rPr>
          <w:lang w:val="nb-NO"/>
        </w:rPr>
        <w:t>ykker belastning i forhold til kommune</w:t>
      </w:r>
      <w:r w:rsidR="0075723B">
        <w:rPr>
          <w:lang w:val="nb-NO"/>
        </w:rPr>
        <w:t>sn</w:t>
      </w:r>
      <w:bookmarkStart w:id="0" w:name="_GoBack"/>
      <w:bookmarkEnd w:id="0"/>
      <w:r w:rsidR="00015967">
        <w:rPr>
          <w:lang w:val="nb-NO"/>
        </w:rPr>
        <w:t>ittet</w:t>
      </w:r>
      <w:r w:rsidR="00581B13">
        <w:rPr>
          <w:lang w:val="nb-NO"/>
        </w:rPr>
        <w:t xml:space="preserve"> (som er 1,00)</w:t>
      </w:r>
      <w:r w:rsidR="00015967">
        <w:rPr>
          <w:lang w:val="nb-NO"/>
        </w:rPr>
        <w:t>.</w:t>
      </w:r>
      <w:r w:rsidR="007A217F">
        <w:rPr>
          <w:lang w:val="nb-NO"/>
        </w:rPr>
        <w:t xml:space="preserve"> </w:t>
      </w:r>
      <w:r w:rsidR="00B64DE0">
        <w:rPr>
          <w:lang w:val="nb-NO"/>
        </w:rPr>
        <w:t>Hellemyr barneskole</w:t>
      </w:r>
      <w:r w:rsidR="007D709B">
        <w:rPr>
          <w:lang w:val="nb-NO"/>
        </w:rPr>
        <w:t xml:space="preserve"> og Grim ungdom</w:t>
      </w:r>
      <w:r w:rsidR="00FD0D4C">
        <w:rPr>
          <w:lang w:val="nb-NO"/>
        </w:rPr>
        <w:t>s</w:t>
      </w:r>
      <w:r w:rsidR="007D709B">
        <w:rPr>
          <w:lang w:val="nb-NO"/>
        </w:rPr>
        <w:t>skole – som dekker bydele</w:t>
      </w:r>
      <w:r w:rsidR="007D6F58">
        <w:rPr>
          <w:lang w:val="nb-NO"/>
        </w:rPr>
        <w:t>ne: Hellemyr, Tinnheia, Grim og Kvadraturen/</w:t>
      </w:r>
      <w:proofErr w:type="spellStart"/>
      <w:r w:rsidR="007D6F58">
        <w:rPr>
          <w:lang w:val="nb-NO"/>
        </w:rPr>
        <w:t>Eg</w:t>
      </w:r>
      <w:proofErr w:type="spellEnd"/>
      <w:r w:rsidR="00FD0D4C">
        <w:rPr>
          <w:lang w:val="nb-NO"/>
        </w:rPr>
        <w:t xml:space="preserve"> -</w:t>
      </w:r>
      <w:r w:rsidR="007A217F">
        <w:rPr>
          <w:lang w:val="nb-NO"/>
        </w:rPr>
        <w:t xml:space="preserve"> kommer ut slik</w:t>
      </w:r>
      <w:r w:rsidR="00581B13">
        <w:rPr>
          <w:lang w:val="nb-NO"/>
        </w:rPr>
        <w:t>:</w:t>
      </w:r>
    </w:p>
    <w:tbl>
      <w:tblPr>
        <w:tblW w:w="2764" w:type="dxa"/>
        <w:tblLook w:val="04A0" w:firstRow="1" w:lastRow="0" w:firstColumn="1" w:lastColumn="0" w:noHBand="0" w:noVBand="1"/>
      </w:tblPr>
      <w:tblGrid>
        <w:gridCol w:w="1564"/>
        <w:gridCol w:w="1200"/>
      </w:tblGrid>
      <w:tr w:rsidR="003705DC" w:rsidRPr="00F1568E" w14:paraId="5309F205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79D9" w14:textId="77777777" w:rsidR="003705DC" w:rsidRPr="00F1568E" w:rsidRDefault="003705DC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6DD2" w14:textId="2A8E310F" w:rsidR="003705DC" w:rsidRPr="00F1568E" w:rsidRDefault="00710487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1</w:t>
            </w:r>
            <w:r w:rsidR="003705DC"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-</w:t>
            </w:r>
            <w:r w:rsidR="00D84DFB">
              <w:rPr>
                <w:rFonts w:ascii="Calibri" w:eastAsia="Times New Roman" w:hAnsi="Calibri" w:cs="Calibri"/>
                <w:color w:val="000000"/>
                <w:lang w:val="nb-NO" w:eastAsia="no-NO"/>
              </w:rPr>
              <w:t>7</w:t>
            </w:r>
            <w:r w:rsidR="003705DC"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. tr</w:t>
            </w:r>
          </w:p>
        </w:tc>
      </w:tr>
      <w:tr w:rsidR="00B57A95" w:rsidRPr="00F1568E" w14:paraId="17243821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E828" w14:textId="001CE6C0" w:rsidR="00B57A95" w:rsidRPr="00F1568E" w:rsidRDefault="00B57A95" w:rsidP="00B57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  <w:r>
              <w:rPr>
                <w:rFonts w:ascii="MS Sans Serif" w:hAnsi="MS Sans Serif" w:cs="Calibri"/>
                <w:sz w:val="20"/>
                <w:szCs w:val="20"/>
              </w:rPr>
              <w:t>Hellemyr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FB0" w14:textId="24B84EFB" w:rsidR="00B57A95" w:rsidRPr="00F1568E" w:rsidRDefault="00B57A95" w:rsidP="00B57A95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>
              <w:rPr>
                <w:rFonts w:ascii="MS Sans Serif" w:hAnsi="MS Sans Serif" w:cs="Calibri"/>
                <w:b/>
                <w:bCs/>
                <w:i/>
                <w:iCs/>
                <w:color w:val="800080"/>
                <w:sz w:val="20"/>
                <w:szCs w:val="20"/>
              </w:rPr>
              <w:t>1,00</w:t>
            </w:r>
          </w:p>
        </w:tc>
      </w:tr>
      <w:tr w:rsidR="00F92BE0" w:rsidRPr="00F1568E" w14:paraId="55B4B00F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E296" w14:textId="723C2C61" w:rsidR="00F92BE0" w:rsidRPr="007A217F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67AB" w14:textId="7AEA407C" w:rsidR="00F92BE0" w:rsidRPr="00A155F5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val="nb-NO"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8-10. tr.</w:t>
            </w:r>
          </w:p>
        </w:tc>
      </w:tr>
      <w:tr w:rsidR="003D3586" w:rsidRPr="00121B58" w14:paraId="6A159A00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F66A" w14:textId="12146552" w:rsidR="003D3586" w:rsidRPr="00F1568E" w:rsidRDefault="003D3586" w:rsidP="003D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  <w:r>
              <w:rPr>
                <w:rFonts w:ascii="MS Sans Serif" w:hAnsi="MS Sans Serif" w:cs="Calibri"/>
                <w:sz w:val="20"/>
                <w:szCs w:val="20"/>
              </w:rPr>
              <w:t>Grim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1A58" w14:textId="47C85049" w:rsidR="003D3586" w:rsidRPr="00121B58" w:rsidRDefault="003D3586" w:rsidP="003D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>
              <w:rPr>
                <w:rFonts w:ascii="MS Sans Serif" w:hAnsi="MS Sans Serif" w:cs="Calibri"/>
                <w:b/>
                <w:bCs/>
                <w:i/>
                <w:iCs/>
                <w:color w:val="800080"/>
                <w:sz w:val="20"/>
                <w:szCs w:val="20"/>
              </w:rPr>
              <w:t>1,86</w:t>
            </w:r>
          </w:p>
        </w:tc>
      </w:tr>
    </w:tbl>
    <w:p w14:paraId="0119ABDF" w14:textId="77777777" w:rsidR="00574647" w:rsidRDefault="00574647" w:rsidP="000E2218">
      <w:pPr>
        <w:rPr>
          <w:lang w:val="nb-NO"/>
        </w:rPr>
      </w:pPr>
    </w:p>
    <w:p w14:paraId="39CCA4D1" w14:textId="067FAB9B" w:rsidR="00015967" w:rsidRDefault="00121B58" w:rsidP="000E2218">
      <w:pPr>
        <w:rPr>
          <w:lang w:val="nb-NO"/>
        </w:rPr>
      </w:pPr>
      <w:r>
        <w:rPr>
          <w:lang w:val="nb-NO"/>
        </w:rPr>
        <w:t>Per Gunnar Uberg</w:t>
      </w:r>
    </w:p>
    <w:p w14:paraId="6AE7158C" w14:textId="3D7FF568" w:rsidR="00DE1461" w:rsidRDefault="00DE1461" w:rsidP="000E2218">
      <w:pPr>
        <w:rPr>
          <w:lang w:val="nb-NO"/>
        </w:rPr>
      </w:pPr>
      <w:r>
        <w:rPr>
          <w:lang w:val="nb-NO"/>
        </w:rPr>
        <w:t>1.okt. 2020</w:t>
      </w:r>
    </w:p>
    <w:sectPr w:rsidR="00DE1461" w:rsidSect="00D527F9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9F6F" w14:textId="77777777" w:rsidR="009C187B" w:rsidRDefault="009C187B" w:rsidP="003A605E">
      <w:pPr>
        <w:spacing w:after="0" w:line="240" w:lineRule="auto"/>
      </w:pPr>
      <w:r>
        <w:separator/>
      </w:r>
    </w:p>
  </w:endnote>
  <w:endnote w:type="continuationSeparator" w:id="0">
    <w:p w14:paraId="16FC4BC2" w14:textId="77777777" w:rsidR="009C187B" w:rsidRDefault="009C187B" w:rsidP="003A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343386"/>
      <w:docPartObj>
        <w:docPartGallery w:val="Page Numbers (Bottom of Page)"/>
        <w:docPartUnique/>
      </w:docPartObj>
    </w:sdtPr>
    <w:sdtEndPr/>
    <w:sdtContent>
      <w:p w14:paraId="30640E7D" w14:textId="740B6DFF" w:rsidR="003A605E" w:rsidRDefault="003A605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6851632C" w14:textId="77777777" w:rsidR="003A605E" w:rsidRDefault="003A60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740E2" w14:textId="77777777" w:rsidR="009C187B" w:rsidRDefault="009C187B" w:rsidP="003A605E">
      <w:pPr>
        <w:spacing w:after="0" w:line="240" w:lineRule="auto"/>
      </w:pPr>
      <w:r>
        <w:separator/>
      </w:r>
    </w:p>
  </w:footnote>
  <w:footnote w:type="continuationSeparator" w:id="0">
    <w:p w14:paraId="379A7EC5" w14:textId="77777777" w:rsidR="009C187B" w:rsidRDefault="009C187B" w:rsidP="003A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189D"/>
    <w:multiLevelType w:val="hybridMultilevel"/>
    <w:tmpl w:val="EAEE55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35AE"/>
    <w:multiLevelType w:val="hybridMultilevel"/>
    <w:tmpl w:val="20D0384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A"/>
    <w:rsid w:val="0000174C"/>
    <w:rsid w:val="00004946"/>
    <w:rsid w:val="000105F2"/>
    <w:rsid w:val="00015967"/>
    <w:rsid w:val="00017293"/>
    <w:rsid w:val="00026AF9"/>
    <w:rsid w:val="00027E73"/>
    <w:rsid w:val="0003155E"/>
    <w:rsid w:val="000406CC"/>
    <w:rsid w:val="000438DD"/>
    <w:rsid w:val="00045F3D"/>
    <w:rsid w:val="000520AA"/>
    <w:rsid w:val="000725DA"/>
    <w:rsid w:val="00090519"/>
    <w:rsid w:val="00095DC1"/>
    <w:rsid w:val="00096D47"/>
    <w:rsid w:val="000A00A4"/>
    <w:rsid w:val="000A02B1"/>
    <w:rsid w:val="000A4DAF"/>
    <w:rsid w:val="000C0C82"/>
    <w:rsid w:val="000C0FB0"/>
    <w:rsid w:val="000C1BC5"/>
    <w:rsid w:val="000C5991"/>
    <w:rsid w:val="000D1D3A"/>
    <w:rsid w:val="000D2674"/>
    <w:rsid w:val="000D3977"/>
    <w:rsid w:val="000D5886"/>
    <w:rsid w:val="000D75BA"/>
    <w:rsid w:val="000E2218"/>
    <w:rsid w:val="000E57E9"/>
    <w:rsid w:val="000E6C57"/>
    <w:rsid w:val="000F3BE4"/>
    <w:rsid w:val="000F7443"/>
    <w:rsid w:val="0010008D"/>
    <w:rsid w:val="00104DFE"/>
    <w:rsid w:val="00107DA3"/>
    <w:rsid w:val="00121B58"/>
    <w:rsid w:val="00123AA0"/>
    <w:rsid w:val="00126599"/>
    <w:rsid w:val="001272FF"/>
    <w:rsid w:val="00127574"/>
    <w:rsid w:val="00130463"/>
    <w:rsid w:val="00133058"/>
    <w:rsid w:val="00162090"/>
    <w:rsid w:val="001620BA"/>
    <w:rsid w:val="001626F0"/>
    <w:rsid w:val="00164987"/>
    <w:rsid w:val="00167741"/>
    <w:rsid w:val="001774EA"/>
    <w:rsid w:val="00180B81"/>
    <w:rsid w:val="00182724"/>
    <w:rsid w:val="00183E2F"/>
    <w:rsid w:val="00193E06"/>
    <w:rsid w:val="00194BD6"/>
    <w:rsid w:val="00195BEF"/>
    <w:rsid w:val="001966E4"/>
    <w:rsid w:val="001A063A"/>
    <w:rsid w:val="001A22A4"/>
    <w:rsid w:val="001B6A5D"/>
    <w:rsid w:val="001C16C3"/>
    <w:rsid w:val="001C6DCA"/>
    <w:rsid w:val="001D448A"/>
    <w:rsid w:val="001D4A8B"/>
    <w:rsid w:val="001E280F"/>
    <w:rsid w:val="001F0111"/>
    <w:rsid w:val="001F0AEE"/>
    <w:rsid w:val="001F119F"/>
    <w:rsid w:val="001F46F5"/>
    <w:rsid w:val="001F4839"/>
    <w:rsid w:val="00203387"/>
    <w:rsid w:val="002102A6"/>
    <w:rsid w:val="0021746E"/>
    <w:rsid w:val="00220E0B"/>
    <w:rsid w:val="00221B44"/>
    <w:rsid w:val="002346E6"/>
    <w:rsid w:val="0024375C"/>
    <w:rsid w:val="00245FBF"/>
    <w:rsid w:val="00253A6E"/>
    <w:rsid w:val="00253EFF"/>
    <w:rsid w:val="00254591"/>
    <w:rsid w:val="002555BA"/>
    <w:rsid w:val="0025770C"/>
    <w:rsid w:val="00262B65"/>
    <w:rsid w:val="00264E55"/>
    <w:rsid w:val="002661FE"/>
    <w:rsid w:val="00267AA6"/>
    <w:rsid w:val="00274C3B"/>
    <w:rsid w:val="002775F3"/>
    <w:rsid w:val="002952B0"/>
    <w:rsid w:val="00297CEA"/>
    <w:rsid w:val="002A3FA7"/>
    <w:rsid w:val="002A4897"/>
    <w:rsid w:val="002B01D1"/>
    <w:rsid w:val="002B2C9A"/>
    <w:rsid w:val="002C37A5"/>
    <w:rsid w:val="002C448E"/>
    <w:rsid w:val="002C695A"/>
    <w:rsid w:val="002D7F8A"/>
    <w:rsid w:val="002E306A"/>
    <w:rsid w:val="002E7FF5"/>
    <w:rsid w:val="002F1D06"/>
    <w:rsid w:val="002F6E0E"/>
    <w:rsid w:val="0030556F"/>
    <w:rsid w:val="00314038"/>
    <w:rsid w:val="003209C7"/>
    <w:rsid w:val="0033056A"/>
    <w:rsid w:val="00330BB9"/>
    <w:rsid w:val="00337D8C"/>
    <w:rsid w:val="003400CE"/>
    <w:rsid w:val="0034018B"/>
    <w:rsid w:val="00342E37"/>
    <w:rsid w:val="0034675E"/>
    <w:rsid w:val="003518C6"/>
    <w:rsid w:val="00351AF4"/>
    <w:rsid w:val="00352858"/>
    <w:rsid w:val="00352DB2"/>
    <w:rsid w:val="003705DC"/>
    <w:rsid w:val="003817AA"/>
    <w:rsid w:val="00381E65"/>
    <w:rsid w:val="00383578"/>
    <w:rsid w:val="00396852"/>
    <w:rsid w:val="003A0B0F"/>
    <w:rsid w:val="003A605E"/>
    <w:rsid w:val="003B1DC8"/>
    <w:rsid w:val="003B26B7"/>
    <w:rsid w:val="003B3294"/>
    <w:rsid w:val="003B7662"/>
    <w:rsid w:val="003C37BD"/>
    <w:rsid w:val="003C6D49"/>
    <w:rsid w:val="003D3586"/>
    <w:rsid w:val="003F16D7"/>
    <w:rsid w:val="003F2258"/>
    <w:rsid w:val="003F5B4C"/>
    <w:rsid w:val="00402342"/>
    <w:rsid w:val="00402519"/>
    <w:rsid w:val="004038DA"/>
    <w:rsid w:val="0041076B"/>
    <w:rsid w:val="00417598"/>
    <w:rsid w:val="004222B7"/>
    <w:rsid w:val="00431C47"/>
    <w:rsid w:val="004340A4"/>
    <w:rsid w:val="00435022"/>
    <w:rsid w:val="00436EC8"/>
    <w:rsid w:val="00437692"/>
    <w:rsid w:val="00443DCE"/>
    <w:rsid w:val="00450CCE"/>
    <w:rsid w:val="0045652A"/>
    <w:rsid w:val="004602A1"/>
    <w:rsid w:val="00466286"/>
    <w:rsid w:val="0047596A"/>
    <w:rsid w:val="00487AC6"/>
    <w:rsid w:val="00491AE4"/>
    <w:rsid w:val="004A2699"/>
    <w:rsid w:val="004A63F5"/>
    <w:rsid w:val="004A6895"/>
    <w:rsid w:val="004B17EF"/>
    <w:rsid w:val="004B2593"/>
    <w:rsid w:val="004B5004"/>
    <w:rsid w:val="004B77B2"/>
    <w:rsid w:val="004C23E5"/>
    <w:rsid w:val="004C7445"/>
    <w:rsid w:val="004C7519"/>
    <w:rsid w:val="004D0AAE"/>
    <w:rsid w:val="004D4B03"/>
    <w:rsid w:val="004D50F9"/>
    <w:rsid w:val="004D6E25"/>
    <w:rsid w:val="004D7062"/>
    <w:rsid w:val="004D7112"/>
    <w:rsid w:val="004E075C"/>
    <w:rsid w:val="004E0C1E"/>
    <w:rsid w:val="004E36FF"/>
    <w:rsid w:val="004F0221"/>
    <w:rsid w:val="005110DA"/>
    <w:rsid w:val="00512133"/>
    <w:rsid w:val="0051468E"/>
    <w:rsid w:val="005233DC"/>
    <w:rsid w:val="00532BE2"/>
    <w:rsid w:val="00533443"/>
    <w:rsid w:val="00543EBD"/>
    <w:rsid w:val="005504F8"/>
    <w:rsid w:val="00552466"/>
    <w:rsid w:val="00552D02"/>
    <w:rsid w:val="00565D0B"/>
    <w:rsid w:val="00574647"/>
    <w:rsid w:val="00575732"/>
    <w:rsid w:val="00581B13"/>
    <w:rsid w:val="00586C7F"/>
    <w:rsid w:val="00594D92"/>
    <w:rsid w:val="005A729A"/>
    <w:rsid w:val="005B0314"/>
    <w:rsid w:val="005B118F"/>
    <w:rsid w:val="005C0D8F"/>
    <w:rsid w:val="005C0FF4"/>
    <w:rsid w:val="005C35DA"/>
    <w:rsid w:val="005C3E7C"/>
    <w:rsid w:val="005C5876"/>
    <w:rsid w:val="005D071D"/>
    <w:rsid w:val="005D3071"/>
    <w:rsid w:val="005D35CC"/>
    <w:rsid w:val="005D6328"/>
    <w:rsid w:val="005E73B3"/>
    <w:rsid w:val="005F2872"/>
    <w:rsid w:val="005F36C3"/>
    <w:rsid w:val="005F37EB"/>
    <w:rsid w:val="005F3964"/>
    <w:rsid w:val="00604446"/>
    <w:rsid w:val="0060467B"/>
    <w:rsid w:val="0060634A"/>
    <w:rsid w:val="006127C7"/>
    <w:rsid w:val="00616D10"/>
    <w:rsid w:val="00622C1D"/>
    <w:rsid w:val="00627AFC"/>
    <w:rsid w:val="00636118"/>
    <w:rsid w:val="006414C8"/>
    <w:rsid w:val="00642746"/>
    <w:rsid w:val="00643BEE"/>
    <w:rsid w:val="00647ED8"/>
    <w:rsid w:val="006525E4"/>
    <w:rsid w:val="006527FB"/>
    <w:rsid w:val="00664AD1"/>
    <w:rsid w:val="006659F5"/>
    <w:rsid w:val="006727B5"/>
    <w:rsid w:val="00681480"/>
    <w:rsid w:val="00684243"/>
    <w:rsid w:val="006851B7"/>
    <w:rsid w:val="0069589B"/>
    <w:rsid w:val="006A32E7"/>
    <w:rsid w:val="006A7701"/>
    <w:rsid w:val="006A799F"/>
    <w:rsid w:val="006C1F57"/>
    <w:rsid w:val="006C78C0"/>
    <w:rsid w:val="006D22E6"/>
    <w:rsid w:val="006D299F"/>
    <w:rsid w:val="006D2A39"/>
    <w:rsid w:val="006D3631"/>
    <w:rsid w:val="006E0FD5"/>
    <w:rsid w:val="006E37C1"/>
    <w:rsid w:val="006E5826"/>
    <w:rsid w:val="006F3B3C"/>
    <w:rsid w:val="00705CD0"/>
    <w:rsid w:val="00707F24"/>
    <w:rsid w:val="00710487"/>
    <w:rsid w:val="00722B99"/>
    <w:rsid w:val="00735178"/>
    <w:rsid w:val="0073673F"/>
    <w:rsid w:val="00743B91"/>
    <w:rsid w:val="007566B8"/>
    <w:rsid w:val="0075723B"/>
    <w:rsid w:val="00763800"/>
    <w:rsid w:val="00771162"/>
    <w:rsid w:val="007750B9"/>
    <w:rsid w:val="007773B8"/>
    <w:rsid w:val="0078334D"/>
    <w:rsid w:val="00783A30"/>
    <w:rsid w:val="00790B56"/>
    <w:rsid w:val="00794F04"/>
    <w:rsid w:val="00796882"/>
    <w:rsid w:val="007A217F"/>
    <w:rsid w:val="007A7395"/>
    <w:rsid w:val="007B0344"/>
    <w:rsid w:val="007C2B76"/>
    <w:rsid w:val="007C3123"/>
    <w:rsid w:val="007C3231"/>
    <w:rsid w:val="007C3B22"/>
    <w:rsid w:val="007C608A"/>
    <w:rsid w:val="007C6758"/>
    <w:rsid w:val="007C7BE4"/>
    <w:rsid w:val="007D20D3"/>
    <w:rsid w:val="007D2F6A"/>
    <w:rsid w:val="007D6F58"/>
    <w:rsid w:val="007D709B"/>
    <w:rsid w:val="007E4BF1"/>
    <w:rsid w:val="007E6835"/>
    <w:rsid w:val="007E7766"/>
    <w:rsid w:val="007F54BC"/>
    <w:rsid w:val="00804BEF"/>
    <w:rsid w:val="00805BE3"/>
    <w:rsid w:val="008067BA"/>
    <w:rsid w:val="00815074"/>
    <w:rsid w:val="008410ED"/>
    <w:rsid w:val="00841DFF"/>
    <w:rsid w:val="00846DF1"/>
    <w:rsid w:val="00850A2B"/>
    <w:rsid w:val="008652A5"/>
    <w:rsid w:val="0086537F"/>
    <w:rsid w:val="00865E30"/>
    <w:rsid w:val="00865E8E"/>
    <w:rsid w:val="00870797"/>
    <w:rsid w:val="0088329D"/>
    <w:rsid w:val="008834ED"/>
    <w:rsid w:val="00897E0D"/>
    <w:rsid w:val="008A00B0"/>
    <w:rsid w:val="008B48EF"/>
    <w:rsid w:val="008C480E"/>
    <w:rsid w:val="008C60AD"/>
    <w:rsid w:val="008D07C4"/>
    <w:rsid w:val="008D3A35"/>
    <w:rsid w:val="008D5E07"/>
    <w:rsid w:val="008D6CA6"/>
    <w:rsid w:val="008D6D1C"/>
    <w:rsid w:val="008D79DF"/>
    <w:rsid w:val="008E295C"/>
    <w:rsid w:val="008E59F6"/>
    <w:rsid w:val="008E7E8D"/>
    <w:rsid w:val="008F3670"/>
    <w:rsid w:val="008F4CE6"/>
    <w:rsid w:val="008F7DF2"/>
    <w:rsid w:val="00901579"/>
    <w:rsid w:val="0090557F"/>
    <w:rsid w:val="00910A9A"/>
    <w:rsid w:val="00915771"/>
    <w:rsid w:val="00916916"/>
    <w:rsid w:val="00917513"/>
    <w:rsid w:val="00917DE2"/>
    <w:rsid w:val="00921662"/>
    <w:rsid w:val="009238FD"/>
    <w:rsid w:val="00926AF1"/>
    <w:rsid w:val="00932AC4"/>
    <w:rsid w:val="00935639"/>
    <w:rsid w:val="00936CB0"/>
    <w:rsid w:val="009379FD"/>
    <w:rsid w:val="0094131F"/>
    <w:rsid w:val="00942C21"/>
    <w:rsid w:val="0094438E"/>
    <w:rsid w:val="009478DC"/>
    <w:rsid w:val="009504AA"/>
    <w:rsid w:val="0095090F"/>
    <w:rsid w:val="00953B4C"/>
    <w:rsid w:val="00956337"/>
    <w:rsid w:val="00973B40"/>
    <w:rsid w:val="009757D4"/>
    <w:rsid w:val="00983D37"/>
    <w:rsid w:val="00996B0E"/>
    <w:rsid w:val="009A081F"/>
    <w:rsid w:val="009A7601"/>
    <w:rsid w:val="009B0464"/>
    <w:rsid w:val="009B129A"/>
    <w:rsid w:val="009C0570"/>
    <w:rsid w:val="009C0682"/>
    <w:rsid w:val="009C187B"/>
    <w:rsid w:val="009C4E1B"/>
    <w:rsid w:val="009C6284"/>
    <w:rsid w:val="009D3C34"/>
    <w:rsid w:val="009D55F7"/>
    <w:rsid w:val="009D5C08"/>
    <w:rsid w:val="009D5FBC"/>
    <w:rsid w:val="009D7202"/>
    <w:rsid w:val="009E3C1C"/>
    <w:rsid w:val="009F0FC1"/>
    <w:rsid w:val="009F170A"/>
    <w:rsid w:val="009F77DF"/>
    <w:rsid w:val="00A04240"/>
    <w:rsid w:val="00A15120"/>
    <w:rsid w:val="00A155F5"/>
    <w:rsid w:val="00A22696"/>
    <w:rsid w:val="00A254C5"/>
    <w:rsid w:val="00A4060E"/>
    <w:rsid w:val="00A4272C"/>
    <w:rsid w:val="00A44D1B"/>
    <w:rsid w:val="00A47B2D"/>
    <w:rsid w:val="00A518D2"/>
    <w:rsid w:val="00A64E73"/>
    <w:rsid w:val="00A73B9F"/>
    <w:rsid w:val="00A75968"/>
    <w:rsid w:val="00A76438"/>
    <w:rsid w:val="00A7726F"/>
    <w:rsid w:val="00A85AB3"/>
    <w:rsid w:val="00A878E0"/>
    <w:rsid w:val="00A90EC0"/>
    <w:rsid w:val="00AA08D1"/>
    <w:rsid w:val="00AA3C2D"/>
    <w:rsid w:val="00AB1F22"/>
    <w:rsid w:val="00AB72D2"/>
    <w:rsid w:val="00AC4838"/>
    <w:rsid w:val="00AC4FC2"/>
    <w:rsid w:val="00AE011A"/>
    <w:rsid w:val="00AE1C6E"/>
    <w:rsid w:val="00AE4665"/>
    <w:rsid w:val="00AE70CB"/>
    <w:rsid w:val="00AE77F1"/>
    <w:rsid w:val="00AE7BA3"/>
    <w:rsid w:val="00B015D2"/>
    <w:rsid w:val="00B2000A"/>
    <w:rsid w:val="00B232BE"/>
    <w:rsid w:val="00B2396B"/>
    <w:rsid w:val="00B260F9"/>
    <w:rsid w:val="00B26CF7"/>
    <w:rsid w:val="00B3247E"/>
    <w:rsid w:val="00B336ED"/>
    <w:rsid w:val="00B35A77"/>
    <w:rsid w:val="00B379DA"/>
    <w:rsid w:val="00B408A0"/>
    <w:rsid w:val="00B4171B"/>
    <w:rsid w:val="00B434FE"/>
    <w:rsid w:val="00B44853"/>
    <w:rsid w:val="00B4659E"/>
    <w:rsid w:val="00B527C1"/>
    <w:rsid w:val="00B5479D"/>
    <w:rsid w:val="00B54BAF"/>
    <w:rsid w:val="00B57A95"/>
    <w:rsid w:val="00B57C2F"/>
    <w:rsid w:val="00B6054F"/>
    <w:rsid w:val="00B63353"/>
    <w:rsid w:val="00B636EC"/>
    <w:rsid w:val="00B64DE0"/>
    <w:rsid w:val="00B65292"/>
    <w:rsid w:val="00B7128F"/>
    <w:rsid w:val="00B71BB9"/>
    <w:rsid w:val="00B74CEC"/>
    <w:rsid w:val="00B91C5D"/>
    <w:rsid w:val="00B945FE"/>
    <w:rsid w:val="00B96CF5"/>
    <w:rsid w:val="00BA3EF6"/>
    <w:rsid w:val="00BA719E"/>
    <w:rsid w:val="00BA7D3A"/>
    <w:rsid w:val="00BB4A3E"/>
    <w:rsid w:val="00BB750E"/>
    <w:rsid w:val="00BD2F1D"/>
    <w:rsid w:val="00BD4DE1"/>
    <w:rsid w:val="00BD5771"/>
    <w:rsid w:val="00BD7979"/>
    <w:rsid w:val="00BE1235"/>
    <w:rsid w:val="00BE1484"/>
    <w:rsid w:val="00BE30DC"/>
    <w:rsid w:val="00BE6632"/>
    <w:rsid w:val="00BF0A02"/>
    <w:rsid w:val="00BF2305"/>
    <w:rsid w:val="00C07F5A"/>
    <w:rsid w:val="00C119E8"/>
    <w:rsid w:val="00C14FBA"/>
    <w:rsid w:val="00C16254"/>
    <w:rsid w:val="00C30D54"/>
    <w:rsid w:val="00C40F3D"/>
    <w:rsid w:val="00C445DF"/>
    <w:rsid w:val="00C4548D"/>
    <w:rsid w:val="00C504F5"/>
    <w:rsid w:val="00C5163C"/>
    <w:rsid w:val="00C51CAB"/>
    <w:rsid w:val="00C54006"/>
    <w:rsid w:val="00C603EC"/>
    <w:rsid w:val="00C60645"/>
    <w:rsid w:val="00C60C49"/>
    <w:rsid w:val="00C62295"/>
    <w:rsid w:val="00C669EA"/>
    <w:rsid w:val="00C7275B"/>
    <w:rsid w:val="00C7580B"/>
    <w:rsid w:val="00C8069A"/>
    <w:rsid w:val="00C8710B"/>
    <w:rsid w:val="00C95B7D"/>
    <w:rsid w:val="00C96397"/>
    <w:rsid w:val="00CB025C"/>
    <w:rsid w:val="00CB0308"/>
    <w:rsid w:val="00CB2CD1"/>
    <w:rsid w:val="00CB5BF2"/>
    <w:rsid w:val="00CC0C26"/>
    <w:rsid w:val="00CC21AC"/>
    <w:rsid w:val="00CD52B3"/>
    <w:rsid w:val="00CD6E21"/>
    <w:rsid w:val="00CE1F02"/>
    <w:rsid w:val="00CE3195"/>
    <w:rsid w:val="00CE420D"/>
    <w:rsid w:val="00D03F0E"/>
    <w:rsid w:val="00D046BE"/>
    <w:rsid w:val="00D12CF9"/>
    <w:rsid w:val="00D17BC2"/>
    <w:rsid w:val="00D27697"/>
    <w:rsid w:val="00D32141"/>
    <w:rsid w:val="00D340DB"/>
    <w:rsid w:val="00D36203"/>
    <w:rsid w:val="00D36C76"/>
    <w:rsid w:val="00D457A5"/>
    <w:rsid w:val="00D465EC"/>
    <w:rsid w:val="00D46838"/>
    <w:rsid w:val="00D473CE"/>
    <w:rsid w:val="00D50C98"/>
    <w:rsid w:val="00D517B5"/>
    <w:rsid w:val="00D527F9"/>
    <w:rsid w:val="00D559BA"/>
    <w:rsid w:val="00D65F29"/>
    <w:rsid w:val="00D66E1C"/>
    <w:rsid w:val="00D70B48"/>
    <w:rsid w:val="00D83ACD"/>
    <w:rsid w:val="00D84DFB"/>
    <w:rsid w:val="00D87F86"/>
    <w:rsid w:val="00D94912"/>
    <w:rsid w:val="00D977A8"/>
    <w:rsid w:val="00DA5C39"/>
    <w:rsid w:val="00DB6260"/>
    <w:rsid w:val="00DD2468"/>
    <w:rsid w:val="00DD3C86"/>
    <w:rsid w:val="00DD7CF7"/>
    <w:rsid w:val="00DE1461"/>
    <w:rsid w:val="00DE2AE8"/>
    <w:rsid w:val="00DE3013"/>
    <w:rsid w:val="00DE575B"/>
    <w:rsid w:val="00DE6665"/>
    <w:rsid w:val="00DE6CA0"/>
    <w:rsid w:val="00DF4CCF"/>
    <w:rsid w:val="00DF55F4"/>
    <w:rsid w:val="00E046FE"/>
    <w:rsid w:val="00E04E29"/>
    <w:rsid w:val="00E05518"/>
    <w:rsid w:val="00E1434F"/>
    <w:rsid w:val="00E231E0"/>
    <w:rsid w:val="00E41C53"/>
    <w:rsid w:val="00E5129C"/>
    <w:rsid w:val="00E62865"/>
    <w:rsid w:val="00E63291"/>
    <w:rsid w:val="00E80365"/>
    <w:rsid w:val="00E81E98"/>
    <w:rsid w:val="00E83855"/>
    <w:rsid w:val="00E91637"/>
    <w:rsid w:val="00E9261A"/>
    <w:rsid w:val="00E93A93"/>
    <w:rsid w:val="00E955BB"/>
    <w:rsid w:val="00EA4C6F"/>
    <w:rsid w:val="00EB54F0"/>
    <w:rsid w:val="00EB62AF"/>
    <w:rsid w:val="00EB6539"/>
    <w:rsid w:val="00ED68B1"/>
    <w:rsid w:val="00ED74AC"/>
    <w:rsid w:val="00EE5C99"/>
    <w:rsid w:val="00EE69E0"/>
    <w:rsid w:val="00EE72CF"/>
    <w:rsid w:val="00EF3AF1"/>
    <w:rsid w:val="00EF414D"/>
    <w:rsid w:val="00EF5983"/>
    <w:rsid w:val="00F02B7C"/>
    <w:rsid w:val="00F077CA"/>
    <w:rsid w:val="00F1343B"/>
    <w:rsid w:val="00F1568E"/>
    <w:rsid w:val="00F22AC3"/>
    <w:rsid w:val="00F248D4"/>
    <w:rsid w:val="00F267BA"/>
    <w:rsid w:val="00F31AB8"/>
    <w:rsid w:val="00F375AA"/>
    <w:rsid w:val="00F37F8C"/>
    <w:rsid w:val="00F46646"/>
    <w:rsid w:val="00F50B38"/>
    <w:rsid w:val="00F618D1"/>
    <w:rsid w:val="00F64D6D"/>
    <w:rsid w:val="00F77756"/>
    <w:rsid w:val="00F81BFD"/>
    <w:rsid w:val="00F83312"/>
    <w:rsid w:val="00F83985"/>
    <w:rsid w:val="00F90D3A"/>
    <w:rsid w:val="00F91BCE"/>
    <w:rsid w:val="00F92023"/>
    <w:rsid w:val="00F92BE0"/>
    <w:rsid w:val="00F94640"/>
    <w:rsid w:val="00F97DA0"/>
    <w:rsid w:val="00FA524A"/>
    <w:rsid w:val="00FB07BA"/>
    <w:rsid w:val="00FB0A66"/>
    <w:rsid w:val="00FB3C96"/>
    <w:rsid w:val="00FB43C8"/>
    <w:rsid w:val="00FB4FED"/>
    <w:rsid w:val="00FB6E9B"/>
    <w:rsid w:val="00FB70A5"/>
    <w:rsid w:val="00FB72CC"/>
    <w:rsid w:val="00FC00A2"/>
    <w:rsid w:val="00FC1BE4"/>
    <w:rsid w:val="00FC227E"/>
    <w:rsid w:val="00FD0D4C"/>
    <w:rsid w:val="00FD12E4"/>
    <w:rsid w:val="00FD53BC"/>
    <w:rsid w:val="00FE28F9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926F"/>
  <w15:chartTrackingRefBased/>
  <w15:docId w15:val="{96B88E83-51F5-4D2F-AAFB-310A83EC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46B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A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0B0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A6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605E"/>
  </w:style>
  <w:style w:type="paragraph" w:styleId="Bunntekst">
    <w:name w:val="footer"/>
    <w:basedOn w:val="Normal"/>
    <w:link w:val="BunntekstTegn"/>
    <w:uiPriority w:val="99"/>
    <w:unhideWhenUsed/>
    <w:rsid w:val="003A6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3" ma:contentTypeDescription="Opprett et nytt dokument." ma:contentTypeScope="" ma:versionID="6e766d4d0aea14fe4a8137dcf880251f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a22cfeca811cbf01432441524d71f085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DEEB-7150-437C-BBF6-5B47BBB23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F2BB2-9BAC-4079-A8B0-24E1B7578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510-0B37-4AC8-AF7D-F83E78E44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3CE83-C6A4-45D1-B701-5EDFAB23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 Uberg</dc:creator>
  <cp:keywords/>
  <dc:description/>
  <cp:lastModifiedBy>Per Gunnar Uberg</cp:lastModifiedBy>
  <cp:revision>200</cp:revision>
  <cp:lastPrinted>2020-03-05T07:55:00Z</cp:lastPrinted>
  <dcterms:created xsi:type="dcterms:W3CDTF">2020-10-01T11:39:00Z</dcterms:created>
  <dcterms:modified xsi:type="dcterms:W3CDTF">2020-10-02T07:53:00Z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